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99AFD" w14:textId="77777777" w:rsidR="00886308" w:rsidRPr="001F3E0E" w:rsidRDefault="00886308" w:rsidP="00886308">
      <w:pPr>
        <w:pStyle w:val="Default"/>
      </w:pPr>
      <w:bookmarkStart w:id="0" w:name="_GoBack"/>
      <w:bookmarkEnd w:id="0"/>
      <w:r w:rsidRPr="001F3E0E">
        <w:t xml:space="preserve">Ügygazda a Központban: </w:t>
      </w:r>
      <w:r w:rsidR="0002716F">
        <w:t>K</w:t>
      </w:r>
      <w:r w:rsidRPr="001F3E0E">
        <w:t>TDF</w:t>
      </w:r>
    </w:p>
    <w:p w14:paraId="1EDB81D4" w14:textId="77777777" w:rsidR="00886308" w:rsidRPr="001F3E0E" w:rsidRDefault="00886308" w:rsidP="00886308">
      <w:pPr>
        <w:rPr>
          <w:rFonts w:cs="Times New Roman"/>
          <w:sz w:val="24"/>
          <w:szCs w:val="24"/>
        </w:rPr>
      </w:pPr>
    </w:p>
    <w:tbl>
      <w:tblPr>
        <w:tblStyle w:val="Rcsostblzat"/>
        <w:tblW w:w="14737" w:type="dxa"/>
        <w:tblLayout w:type="fixed"/>
        <w:tblLook w:val="04A0" w:firstRow="1" w:lastRow="0" w:firstColumn="1" w:lastColumn="0" w:noHBand="0" w:noVBand="1"/>
      </w:tblPr>
      <w:tblGrid>
        <w:gridCol w:w="3397"/>
        <w:gridCol w:w="2249"/>
        <w:gridCol w:w="1085"/>
        <w:gridCol w:w="1385"/>
        <w:gridCol w:w="6621"/>
      </w:tblGrid>
      <w:tr w:rsidR="00886308" w:rsidRPr="001F3E0E" w14:paraId="5E6CEDBB" w14:textId="77777777" w:rsidTr="00410460">
        <w:trPr>
          <w:trHeight w:val="375"/>
        </w:trPr>
        <w:tc>
          <w:tcPr>
            <w:tcW w:w="1473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610520B" w14:textId="763224FF" w:rsidR="00886308" w:rsidRPr="001F3E0E" w:rsidRDefault="00DD19ED" w:rsidP="00D25CAD">
            <w:pPr>
              <w:jc w:val="center"/>
              <w:rPr>
                <w:rFonts w:cs="Times New Roman"/>
                <w:b/>
                <w:bCs/>
                <w:sz w:val="24"/>
                <w:szCs w:val="24"/>
              </w:rPr>
            </w:pPr>
            <w:r>
              <w:rPr>
                <w:rFonts w:cs="Times New Roman"/>
                <w:b/>
                <w:bCs/>
                <w:sz w:val="24"/>
                <w:szCs w:val="24"/>
              </w:rPr>
              <w:t>PÁRIZS, valamint regionális akkreditáció keretében Algír, Tabat, Tunisz</w:t>
            </w:r>
          </w:p>
          <w:p w14:paraId="1B285A66" w14:textId="7CC24FEE" w:rsidR="00886308" w:rsidRPr="001F3E0E" w:rsidRDefault="00886308" w:rsidP="00D25CAD">
            <w:pPr>
              <w:jc w:val="center"/>
              <w:rPr>
                <w:rFonts w:cs="Times New Roman"/>
                <w:b/>
                <w:bCs/>
                <w:sz w:val="24"/>
                <w:szCs w:val="24"/>
              </w:rPr>
            </w:pPr>
            <w:r w:rsidRPr="001F3E0E">
              <w:rPr>
                <w:rFonts w:cs="Times New Roman"/>
                <w:b/>
                <w:bCs/>
                <w:sz w:val="24"/>
                <w:szCs w:val="24"/>
              </w:rPr>
              <w:t>TéT szakdiplomata éves beszámoló jelentés</w:t>
            </w:r>
            <w:r w:rsidR="00DD19ED">
              <w:rPr>
                <w:rFonts w:cs="Times New Roman"/>
                <w:b/>
                <w:bCs/>
                <w:sz w:val="24"/>
                <w:szCs w:val="24"/>
              </w:rPr>
              <w:t>e</w:t>
            </w:r>
          </w:p>
          <w:p w14:paraId="7620ABD4" w14:textId="77777777" w:rsidR="00886308" w:rsidRPr="001F3E0E" w:rsidRDefault="009B553A" w:rsidP="009B553A">
            <w:pPr>
              <w:jc w:val="center"/>
              <w:rPr>
                <w:rFonts w:cs="Times New Roman"/>
                <w:b/>
                <w:bCs/>
                <w:sz w:val="24"/>
                <w:szCs w:val="24"/>
              </w:rPr>
            </w:pPr>
            <w:r>
              <w:rPr>
                <w:rFonts w:cs="Times New Roman"/>
                <w:b/>
                <w:bCs/>
                <w:sz w:val="24"/>
                <w:szCs w:val="24"/>
              </w:rPr>
              <w:t xml:space="preserve">2023. </w:t>
            </w:r>
            <w:r w:rsidR="00886308" w:rsidRPr="001F3E0E">
              <w:rPr>
                <w:rFonts w:cs="Times New Roman"/>
                <w:b/>
                <w:bCs/>
                <w:sz w:val="24"/>
                <w:szCs w:val="24"/>
              </w:rPr>
              <w:t xml:space="preserve">június – </w:t>
            </w:r>
            <w:r>
              <w:rPr>
                <w:rFonts w:cs="Times New Roman"/>
                <w:b/>
                <w:bCs/>
                <w:sz w:val="24"/>
                <w:szCs w:val="24"/>
              </w:rPr>
              <w:t xml:space="preserve">2024. </w:t>
            </w:r>
            <w:r w:rsidR="00886308" w:rsidRPr="001F3E0E">
              <w:rPr>
                <w:rFonts w:cs="Times New Roman"/>
                <w:b/>
                <w:bCs/>
                <w:sz w:val="24"/>
                <w:szCs w:val="24"/>
              </w:rPr>
              <w:t>május</w:t>
            </w:r>
          </w:p>
        </w:tc>
      </w:tr>
      <w:tr w:rsidR="00886308" w:rsidRPr="001F3E0E" w14:paraId="3A70A0C3" w14:textId="77777777" w:rsidTr="00410460">
        <w:trPr>
          <w:trHeight w:val="26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8D5CB2" w14:textId="6CC0760B" w:rsidR="00886308" w:rsidRPr="001F3E0E" w:rsidRDefault="00886308" w:rsidP="00DD19ED">
            <w:pPr>
              <w:rPr>
                <w:rFonts w:cs="Times New Roman"/>
                <w:b/>
                <w:bCs/>
                <w:sz w:val="24"/>
                <w:szCs w:val="24"/>
              </w:rPr>
            </w:pPr>
            <w:r w:rsidRPr="001F3E0E">
              <w:rPr>
                <w:rFonts w:cs="Times New Roman"/>
                <w:b/>
                <w:bCs/>
                <w:sz w:val="24"/>
                <w:szCs w:val="24"/>
              </w:rPr>
              <w:t>Készítette:</w:t>
            </w:r>
          </w:p>
        </w:tc>
        <w:tc>
          <w:tcPr>
            <w:tcW w:w="11340" w:type="dxa"/>
            <w:gridSpan w:val="4"/>
            <w:tcBorders>
              <w:top w:val="single" w:sz="4" w:space="0" w:color="auto"/>
              <w:left w:val="single" w:sz="4" w:space="0" w:color="auto"/>
              <w:bottom w:val="single" w:sz="4" w:space="0" w:color="auto"/>
              <w:right w:val="single" w:sz="4" w:space="0" w:color="auto"/>
            </w:tcBorders>
            <w:noWrap/>
            <w:hideMark/>
          </w:tcPr>
          <w:p w14:paraId="7A2A0E39" w14:textId="12734F93" w:rsidR="00886308" w:rsidRPr="001F3E0E" w:rsidRDefault="00AE1B1F" w:rsidP="00D25CAD">
            <w:pPr>
              <w:rPr>
                <w:rFonts w:cs="Times New Roman"/>
                <w:b/>
                <w:bCs/>
                <w:sz w:val="24"/>
                <w:szCs w:val="24"/>
              </w:rPr>
            </w:pPr>
            <w:r>
              <w:rPr>
                <w:rFonts w:cs="Times New Roman"/>
                <w:b/>
                <w:bCs/>
                <w:sz w:val="24"/>
                <w:szCs w:val="24"/>
              </w:rPr>
              <w:t>Somogyi Norbert</w:t>
            </w:r>
            <w:r w:rsidR="00DD19ED">
              <w:rPr>
                <w:rFonts w:cs="Times New Roman"/>
                <w:b/>
                <w:bCs/>
                <w:sz w:val="24"/>
                <w:szCs w:val="24"/>
              </w:rPr>
              <w:t xml:space="preserve"> </w:t>
            </w:r>
            <w:r w:rsidR="00DD19ED" w:rsidRPr="001F3E0E">
              <w:rPr>
                <w:rFonts w:cs="Times New Roman"/>
                <w:b/>
                <w:bCs/>
                <w:sz w:val="24"/>
                <w:szCs w:val="24"/>
              </w:rPr>
              <w:t>(TéT szakdiplomata)</w:t>
            </w:r>
          </w:p>
        </w:tc>
      </w:tr>
      <w:tr w:rsidR="00886308" w:rsidRPr="001F3E0E" w14:paraId="2AFE5A6B" w14:textId="77777777" w:rsidTr="00410460">
        <w:trPr>
          <w:trHeight w:val="292"/>
        </w:trPr>
        <w:tc>
          <w:tcPr>
            <w:tcW w:w="56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D41CA7" w14:textId="77777777" w:rsidR="00886308" w:rsidRPr="001F3E0E" w:rsidRDefault="00886308" w:rsidP="00D25CAD">
            <w:pPr>
              <w:jc w:val="both"/>
              <w:rPr>
                <w:rFonts w:cs="Times New Roman"/>
                <w:b/>
                <w:sz w:val="24"/>
                <w:szCs w:val="24"/>
              </w:rPr>
            </w:pPr>
            <w:r w:rsidRPr="001F3E0E">
              <w:rPr>
                <w:rFonts w:cs="Times New Roman"/>
                <w:b/>
                <w:sz w:val="24"/>
                <w:szCs w:val="24"/>
              </w:rPr>
              <w:t>Beszámoló véglegesítésének időpontja (év, hó, nap):</w:t>
            </w:r>
          </w:p>
        </w:tc>
        <w:tc>
          <w:tcPr>
            <w:tcW w:w="1085" w:type="dxa"/>
            <w:tcBorders>
              <w:top w:val="single" w:sz="4" w:space="0" w:color="auto"/>
              <w:left w:val="single" w:sz="4" w:space="0" w:color="auto"/>
              <w:bottom w:val="single" w:sz="4" w:space="0" w:color="auto"/>
              <w:right w:val="single" w:sz="4" w:space="0" w:color="auto"/>
            </w:tcBorders>
            <w:noWrap/>
            <w:hideMark/>
          </w:tcPr>
          <w:p w14:paraId="1D5BF4E8" w14:textId="433D83EB" w:rsidR="00886308" w:rsidRPr="001F3E0E" w:rsidRDefault="00AE1B1F" w:rsidP="00D25CAD">
            <w:pPr>
              <w:rPr>
                <w:rFonts w:cs="Times New Roman"/>
                <w:b/>
                <w:sz w:val="24"/>
                <w:szCs w:val="24"/>
              </w:rPr>
            </w:pPr>
            <w:r>
              <w:rPr>
                <w:rFonts w:cs="Times New Roman"/>
                <w:b/>
                <w:sz w:val="24"/>
                <w:szCs w:val="24"/>
              </w:rPr>
              <w:t>2024.</w:t>
            </w:r>
          </w:p>
        </w:tc>
        <w:tc>
          <w:tcPr>
            <w:tcW w:w="1385" w:type="dxa"/>
            <w:tcBorders>
              <w:top w:val="single" w:sz="4" w:space="0" w:color="auto"/>
              <w:left w:val="single" w:sz="4" w:space="0" w:color="auto"/>
              <w:bottom w:val="single" w:sz="4" w:space="0" w:color="auto"/>
              <w:right w:val="single" w:sz="4" w:space="0" w:color="auto"/>
            </w:tcBorders>
            <w:noWrap/>
            <w:hideMark/>
          </w:tcPr>
          <w:p w14:paraId="6BCF31A2" w14:textId="7B7E704B" w:rsidR="00886308" w:rsidRPr="001F3E0E" w:rsidRDefault="00AE1B1F" w:rsidP="00D25CAD">
            <w:pPr>
              <w:rPr>
                <w:rFonts w:eastAsia="Times New Roman" w:cs="Times New Roman"/>
                <w:sz w:val="24"/>
                <w:szCs w:val="24"/>
              </w:rPr>
            </w:pPr>
            <w:r>
              <w:rPr>
                <w:rFonts w:cs="Times New Roman"/>
                <w:sz w:val="24"/>
                <w:szCs w:val="24"/>
              </w:rPr>
              <w:t>június</w:t>
            </w:r>
          </w:p>
        </w:tc>
        <w:tc>
          <w:tcPr>
            <w:tcW w:w="6621" w:type="dxa"/>
            <w:tcBorders>
              <w:top w:val="single" w:sz="4" w:space="0" w:color="auto"/>
              <w:left w:val="single" w:sz="4" w:space="0" w:color="auto"/>
              <w:bottom w:val="single" w:sz="4" w:space="0" w:color="auto"/>
              <w:right w:val="single" w:sz="4" w:space="0" w:color="auto"/>
            </w:tcBorders>
            <w:noWrap/>
            <w:hideMark/>
          </w:tcPr>
          <w:p w14:paraId="06B00D64" w14:textId="531D0554" w:rsidR="00886308" w:rsidRPr="001F3E0E" w:rsidRDefault="00AE1B1F" w:rsidP="00D25CAD">
            <w:pPr>
              <w:rPr>
                <w:rFonts w:cs="Times New Roman"/>
                <w:sz w:val="24"/>
                <w:szCs w:val="24"/>
              </w:rPr>
            </w:pPr>
            <w:r>
              <w:rPr>
                <w:rFonts w:cs="Times New Roman"/>
                <w:sz w:val="24"/>
                <w:szCs w:val="24"/>
              </w:rPr>
              <w:t>16</w:t>
            </w:r>
            <w:r w:rsidR="00DD7D95">
              <w:rPr>
                <w:rFonts w:cs="Times New Roman"/>
                <w:sz w:val="24"/>
                <w:szCs w:val="24"/>
              </w:rPr>
              <w:t>.</w:t>
            </w:r>
          </w:p>
        </w:tc>
      </w:tr>
      <w:tr w:rsidR="00886308" w:rsidRPr="001F3E0E" w14:paraId="6DD7819B" w14:textId="77777777" w:rsidTr="00410460">
        <w:trPr>
          <w:trHeight w:val="162"/>
        </w:trPr>
        <w:tc>
          <w:tcPr>
            <w:tcW w:w="14737" w:type="dxa"/>
            <w:gridSpan w:val="5"/>
            <w:tcBorders>
              <w:top w:val="single" w:sz="4" w:space="0" w:color="auto"/>
              <w:left w:val="single" w:sz="4" w:space="0" w:color="auto"/>
              <w:bottom w:val="single" w:sz="4" w:space="0" w:color="auto"/>
              <w:right w:val="single" w:sz="4" w:space="0" w:color="auto"/>
            </w:tcBorders>
            <w:noWrap/>
            <w:hideMark/>
          </w:tcPr>
          <w:p w14:paraId="7ADF9156" w14:textId="77777777" w:rsidR="000F46F7" w:rsidRPr="001F3E0E" w:rsidRDefault="000F46F7" w:rsidP="00D25CAD">
            <w:pPr>
              <w:rPr>
                <w:rFonts w:cs="Times New Roman"/>
                <w:sz w:val="24"/>
                <w:szCs w:val="24"/>
              </w:rPr>
            </w:pPr>
          </w:p>
        </w:tc>
      </w:tr>
      <w:tr w:rsidR="00886308" w:rsidRPr="001F3E0E" w14:paraId="2B755F84" w14:textId="77777777" w:rsidTr="000F46F7">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F9410C4" w14:textId="77777777" w:rsidR="00886308" w:rsidRPr="004A7EFA" w:rsidRDefault="00886308" w:rsidP="00D25CAD">
            <w:pPr>
              <w:pStyle w:val="Listaszerbekezds"/>
              <w:numPr>
                <w:ilvl w:val="0"/>
                <w:numId w:val="1"/>
              </w:numPr>
              <w:rPr>
                <w:rFonts w:cs="Times New Roman"/>
                <w:sz w:val="24"/>
                <w:szCs w:val="24"/>
              </w:rPr>
            </w:pPr>
            <w:r w:rsidRPr="004A7EFA">
              <w:rPr>
                <w:rFonts w:cs="Times New Roman"/>
                <w:b/>
                <w:bCs/>
                <w:sz w:val="24"/>
                <w:szCs w:val="24"/>
              </w:rPr>
              <w:t>Vezetői összefoglaló</w:t>
            </w:r>
          </w:p>
        </w:tc>
        <w:tc>
          <w:tcPr>
            <w:tcW w:w="11340" w:type="dxa"/>
            <w:gridSpan w:val="4"/>
            <w:tcBorders>
              <w:top w:val="single" w:sz="4" w:space="0" w:color="auto"/>
              <w:left w:val="single" w:sz="4" w:space="0" w:color="auto"/>
              <w:bottom w:val="single" w:sz="4" w:space="0" w:color="auto"/>
              <w:right w:val="single" w:sz="4" w:space="0" w:color="auto"/>
            </w:tcBorders>
            <w:vAlign w:val="center"/>
          </w:tcPr>
          <w:p w14:paraId="6E5419F9" w14:textId="7E7088E2" w:rsidR="007D0550" w:rsidRPr="001F3E0E" w:rsidRDefault="009A12EB" w:rsidP="005A5CCF">
            <w:pPr>
              <w:jc w:val="both"/>
              <w:rPr>
                <w:rFonts w:cs="Times New Roman"/>
                <w:sz w:val="24"/>
                <w:szCs w:val="24"/>
              </w:rPr>
            </w:pPr>
            <w:r>
              <w:rPr>
                <w:rFonts w:cs="Times New Roman"/>
                <w:sz w:val="24"/>
                <w:szCs w:val="24"/>
              </w:rPr>
              <w:t xml:space="preserve">A francia K+F+I szférát továbbra is alapvetően a 2021. január elsejével hatályba lépett többéves kutatás-fejlesztési programozási törvény adta keretrendszer határozza meg, másrészt számos területen nagyon jelentős többlet-támogatási keret nyílt meg, köszönhetően a gazdasági újraindítási és a hosszú távú gazdaságfejlesztési programoknak, ezen belül hangsúlyosan a </w:t>
            </w:r>
            <w:hyperlink r:id="rId8" w:history="1">
              <w:r w:rsidRPr="00D66C1F">
                <w:rPr>
                  <w:rStyle w:val="Hiperhivatkozs"/>
                  <w:rFonts w:cs="Times New Roman"/>
                  <w:sz w:val="24"/>
                  <w:szCs w:val="24"/>
                </w:rPr>
                <w:t>France 2030</w:t>
              </w:r>
            </w:hyperlink>
            <w:r>
              <w:rPr>
                <w:rFonts w:cs="Times New Roman"/>
                <w:sz w:val="24"/>
                <w:szCs w:val="24"/>
              </w:rPr>
              <w:t>-nak</w:t>
            </w:r>
            <w:r w:rsidR="005A5CCF">
              <w:rPr>
                <w:rFonts w:cs="Times New Roman"/>
                <w:sz w:val="24"/>
                <w:szCs w:val="24"/>
              </w:rPr>
              <w:t>. Megjegyzendő azonban, hogy a francia költségvetés nehézségei miatt úgy tűnik, a megszorítások miatt az idei – programozott - plusz források nem biztos, hogy rendelkezésre állnak.</w:t>
            </w:r>
            <w:r>
              <w:rPr>
                <w:rFonts w:cs="Times New Roman"/>
                <w:sz w:val="24"/>
                <w:szCs w:val="24"/>
              </w:rPr>
              <w:t xml:space="preserve"> A francia egyetemi reform utolsó fázisában létrehozott hatalmas méretű egyetemek (pl. Université Paris-Saclay, Paris Sciences et Lettres, stb.) a globális rangsorok élvonalában helyezkednek el, de a legutóbbi értékelésekben érdemben előrébb nem léptek.</w:t>
            </w:r>
            <w:r w:rsidR="005A5CCF">
              <w:rPr>
                <w:rFonts w:cs="Times New Roman"/>
                <w:sz w:val="24"/>
                <w:szCs w:val="24"/>
              </w:rPr>
              <w:t xml:space="preserve"> </w:t>
            </w:r>
            <w:r w:rsidR="007842EF">
              <w:rPr>
                <w:rFonts w:cs="Times New Roman"/>
                <w:sz w:val="24"/>
                <w:szCs w:val="24"/>
              </w:rPr>
              <w:t xml:space="preserve">Intézményi szinten a kapcsolatok kiegyensúlyozottak, problémás esetekről a nagykövetségnek nincs tudomása, noha tagadhatatlan, hogy az alapítványi egyetemekkel szembeni uniós tiltás nem kedvez az együttműködések bővítésének. </w:t>
            </w:r>
            <w:r w:rsidR="005A5CCF">
              <w:rPr>
                <w:rFonts w:cs="Times New Roman"/>
                <w:sz w:val="24"/>
                <w:szCs w:val="24"/>
              </w:rPr>
              <w:t xml:space="preserve">Az állomáshelyhez regionális akkreditáció keretében tartozó három észak-afrikai ország (Algéria, Marokkó, Tunézia) esetében a legnagyobb kihívást a demográfiai, ökológiai és élelmezési kihívások kezelése jelenti, a felsőoktatás, a kutatás és a szakképzés elsősorban ezekre próbál megoldást találni, ideértve a fiatalok munkaerőpiaci elhelyezkedésének elősegítését is. Megjegyzendő, hogy a három érintett ország részese a Stipendium Hungaricum-programnak, a </w:t>
            </w:r>
            <w:r w:rsidR="00DD19ED">
              <w:rPr>
                <w:rFonts w:cs="Times New Roman"/>
                <w:sz w:val="24"/>
                <w:szCs w:val="24"/>
              </w:rPr>
              <w:t xml:space="preserve">többszörös </w:t>
            </w:r>
            <w:r w:rsidR="005A5CCF">
              <w:rPr>
                <w:rFonts w:cs="Times New Roman"/>
                <w:sz w:val="24"/>
                <w:szCs w:val="24"/>
              </w:rPr>
              <w:t>hallgatói túljelentkezés általános jelenség, ennek ellenére Algéria nem tudja kihasználni a rendelkezésére álló keretet, ennek okairól a magyar és algériai fél eddig nem tudott kölcsönösen elfogadható magyarázatot adni.</w:t>
            </w:r>
            <w:r w:rsidR="007842EF">
              <w:rPr>
                <w:rFonts w:cs="Times New Roman"/>
                <w:sz w:val="24"/>
                <w:szCs w:val="24"/>
              </w:rPr>
              <w:t xml:space="preserve"> Ezekben a relációkban a tágan értelmezett mezőgazdasági és egészségügyi kutatásoknak kiemelt jelentőségük lehet, ezért fontos lenne hazánk csatlakozása a PRIMA-konzorciumhoz, valamint olyan források fölkutatása, amik érdemi kutatási együttműködések indítását is lehetővé teszik.</w:t>
            </w:r>
          </w:p>
        </w:tc>
      </w:tr>
      <w:tr w:rsidR="00886308" w:rsidRPr="001F3E0E" w14:paraId="749B1866" w14:textId="77777777" w:rsidTr="00410460">
        <w:trPr>
          <w:trHeight w:val="162"/>
        </w:trPr>
        <w:tc>
          <w:tcPr>
            <w:tcW w:w="14737" w:type="dxa"/>
            <w:gridSpan w:val="5"/>
            <w:tcBorders>
              <w:top w:val="single" w:sz="4" w:space="0" w:color="auto"/>
              <w:left w:val="single" w:sz="4" w:space="0" w:color="auto"/>
              <w:bottom w:val="single" w:sz="4" w:space="0" w:color="auto"/>
              <w:right w:val="single" w:sz="4" w:space="0" w:color="auto"/>
            </w:tcBorders>
            <w:noWrap/>
          </w:tcPr>
          <w:p w14:paraId="50DE20BF" w14:textId="77777777" w:rsidR="00886308" w:rsidRPr="001F3E0E" w:rsidRDefault="00886308" w:rsidP="00D25CAD">
            <w:pPr>
              <w:rPr>
                <w:rFonts w:cs="Times New Roman"/>
                <w:sz w:val="24"/>
                <w:szCs w:val="24"/>
              </w:rPr>
            </w:pPr>
          </w:p>
        </w:tc>
      </w:tr>
      <w:tr w:rsidR="00886308" w:rsidRPr="001F3E0E" w14:paraId="43CCD149" w14:textId="77777777" w:rsidTr="004A7EFA">
        <w:trPr>
          <w:cantSplit/>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03F929" w14:textId="77777777" w:rsidR="00886308" w:rsidRPr="004A7EFA" w:rsidRDefault="00886308" w:rsidP="004A7EFA">
            <w:pPr>
              <w:pStyle w:val="Listaszerbekezds"/>
              <w:numPr>
                <w:ilvl w:val="0"/>
                <w:numId w:val="1"/>
              </w:numPr>
              <w:rPr>
                <w:rFonts w:cs="Times New Roman"/>
                <w:b/>
                <w:bCs/>
                <w:sz w:val="24"/>
                <w:szCs w:val="24"/>
              </w:rPr>
            </w:pPr>
            <w:r w:rsidRPr="001F3E0E">
              <w:rPr>
                <w:rFonts w:cs="Times New Roman"/>
                <w:b/>
                <w:bCs/>
                <w:sz w:val="24"/>
                <w:szCs w:val="24"/>
              </w:rPr>
              <w:lastRenderedPageBreak/>
              <w:t>A fogadó ország (TéT szakdiplomata felelősségi területe) KFI helyzete, prioritások, intézményrendszer</w:t>
            </w:r>
          </w:p>
        </w:tc>
        <w:tc>
          <w:tcPr>
            <w:tcW w:w="11340" w:type="dxa"/>
            <w:gridSpan w:val="4"/>
            <w:tcBorders>
              <w:top w:val="single" w:sz="4" w:space="0" w:color="auto"/>
              <w:left w:val="single" w:sz="4" w:space="0" w:color="auto"/>
              <w:bottom w:val="single" w:sz="4" w:space="0" w:color="auto"/>
              <w:right w:val="single" w:sz="4" w:space="0" w:color="auto"/>
            </w:tcBorders>
            <w:noWrap/>
            <w:vAlign w:val="center"/>
          </w:tcPr>
          <w:p w14:paraId="26A284C9" w14:textId="70D085AB" w:rsidR="00410460" w:rsidRPr="001F3E0E" w:rsidRDefault="009A12EB" w:rsidP="00DD19ED">
            <w:pPr>
              <w:widowControl w:val="0"/>
              <w:jc w:val="both"/>
              <w:rPr>
                <w:rFonts w:cs="Times New Roman"/>
                <w:sz w:val="24"/>
                <w:szCs w:val="24"/>
              </w:rPr>
            </w:pPr>
            <w:r>
              <w:rPr>
                <w:rFonts w:cs="Times New Roman"/>
                <w:sz w:val="24"/>
                <w:szCs w:val="24"/>
              </w:rPr>
              <w:t xml:space="preserve">A francia kormányzat a vállalati szféra versenyképessége szempontjából is prioritásként kezeli a K+F+I támogatását. Alaptétel, hogy </w:t>
            </w:r>
            <w:r>
              <w:rPr>
                <w:rFonts w:cs="Times New Roman"/>
                <w:b/>
                <w:bCs/>
                <w:sz w:val="24"/>
                <w:szCs w:val="24"/>
              </w:rPr>
              <w:t>a tudomány támogatása és fejlődése Franciaország szuverenitásának alapja.</w:t>
            </w:r>
            <w:r>
              <w:rPr>
                <w:rFonts w:cs="Times New Roman"/>
                <w:sz w:val="24"/>
                <w:szCs w:val="24"/>
              </w:rPr>
              <w:t xml:space="preserve"> Elismerik, hogy a kutatásnak stabilitásra és hosszú távú vízióra van szüksége, amihez forrást is szükséges rendelni. A francia ipar és általában a gazdaság versenyképességének kulcsa az új technológiák, ezen belül a digitalizáció maximális hatékonyságú alkalmazása, komoly motiváló tényező a környezetvédelmi és energetikai átmenetre vonatkozó kormányzati politika is. </w:t>
            </w:r>
            <w:r>
              <w:rPr>
                <w:rFonts w:cs="Times New Roman"/>
                <w:b/>
                <w:sz w:val="24"/>
                <w:szCs w:val="24"/>
              </w:rPr>
              <w:t>A globális kihívásoknak való gazdasági, társadalmi, környezetvédelmi, energetikai megfelelés előmozdítása, a francia gazdaság nemzetközi versenyképességének javítása, valamint az ország szuverenitásának erősítése érdekében több jelentős stratégiai programot is meghirdettek, többek között a hidrogén mint energiahordozó, a kvantum-technológia, a mesterséges intelligencia, a kiberbiztonság, a nukleáris kisreaktorok, valamint az űrtechnológiák területén</w:t>
            </w:r>
            <w:r>
              <w:rPr>
                <w:rFonts w:cs="Times New Roman"/>
                <w:sz w:val="24"/>
                <w:szCs w:val="24"/>
              </w:rPr>
              <w:t>. A koronavírus-járvány már rávilágított az egészségügyi szuverenitás fontosságára, az ukrajnai krízis fényében pedig hatványozottan jelentkezik az élelmezési, energetikai, védelmi és általában a technológiai szuverenitás szükségessége.</w:t>
            </w:r>
            <w:r w:rsidR="00DD19ED">
              <w:rPr>
                <w:rFonts w:cs="Times New Roman"/>
                <w:sz w:val="24"/>
                <w:szCs w:val="24"/>
              </w:rPr>
              <w:t xml:space="preserve"> </w:t>
            </w:r>
            <w:r>
              <w:rPr>
                <w:rFonts w:cs="Times New Roman"/>
                <w:sz w:val="24"/>
                <w:szCs w:val="24"/>
              </w:rPr>
              <w:t>A párizsi állomáshelyhez 2019-ben hozzárendelt észak-afrikai országokban a K+F és fölsőoktatás lényegesen nagyobb állami szerepvállalás mellett működik, a kutatás elsősorban a munkahelyteremtésben is kiemelt szempontot játszó ágazatok (pl. agrárium) esetében bír megkülönböztetett fontossággal, míg a demográfiai folyamatok fényében az egyetemi szféra a fiatalok munkaerőpiaci elhelyezkedése szempontjából kulcsfontosságú.</w:t>
            </w:r>
          </w:p>
        </w:tc>
      </w:tr>
      <w:tr w:rsidR="00886308" w:rsidRPr="001F3E0E" w14:paraId="5B84B9D8" w14:textId="77777777" w:rsidTr="00410460">
        <w:trPr>
          <w:trHeight w:val="330"/>
        </w:trPr>
        <w:tc>
          <w:tcPr>
            <w:tcW w:w="14737" w:type="dxa"/>
            <w:gridSpan w:val="5"/>
            <w:tcBorders>
              <w:top w:val="single" w:sz="4" w:space="0" w:color="auto"/>
              <w:left w:val="single" w:sz="4" w:space="0" w:color="auto"/>
              <w:bottom w:val="single" w:sz="4" w:space="0" w:color="auto"/>
              <w:right w:val="single" w:sz="4" w:space="0" w:color="auto"/>
            </w:tcBorders>
            <w:noWrap/>
            <w:hideMark/>
          </w:tcPr>
          <w:p w14:paraId="2385B530" w14:textId="77777777" w:rsidR="00886308" w:rsidRPr="001F3E0E" w:rsidRDefault="00886308" w:rsidP="00D25CAD">
            <w:pPr>
              <w:rPr>
                <w:rFonts w:cs="Times New Roman"/>
                <w:sz w:val="24"/>
                <w:szCs w:val="24"/>
              </w:rPr>
            </w:pPr>
            <w:r w:rsidRPr="001F3E0E">
              <w:rPr>
                <w:rFonts w:cs="Times New Roman"/>
                <w:sz w:val="24"/>
                <w:szCs w:val="24"/>
              </w:rPr>
              <w:t> </w:t>
            </w:r>
          </w:p>
        </w:tc>
      </w:tr>
      <w:tr w:rsidR="00886308" w:rsidRPr="001F3E0E" w14:paraId="668C9F1B" w14:textId="77777777" w:rsidTr="004A7EFA">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DA7148" w14:textId="77777777" w:rsidR="00886308" w:rsidRPr="004A7EFA" w:rsidRDefault="00886308" w:rsidP="00D25CAD">
            <w:pPr>
              <w:pStyle w:val="Listaszerbekezds"/>
              <w:numPr>
                <w:ilvl w:val="0"/>
                <w:numId w:val="1"/>
              </w:numPr>
              <w:rPr>
                <w:rFonts w:cs="Times New Roman"/>
                <w:b/>
                <w:bCs/>
                <w:sz w:val="24"/>
                <w:szCs w:val="24"/>
              </w:rPr>
            </w:pPr>
            <w:r w:rsidRPr="001F3E0E">
              <w:rPr>
                <w:rFonts w:cs="Times New Roman"/>
                <w:b/>
                <w:bCs/>
                <w:sz w:val="24"/>
                <w:szCs w:val="24"/>
              </w:rPr>
              <w:t xml:space="preserve">Bilaterális KFI kapcsolataink </w:t>
            </w:r>
          </w:p>
        </w:tc>
        <w:tc>
          <w:tcPr>
            <w:tcW w:w="11340" w:type="dxa"/>
            <w:gridSpan w:val="4"/>
            <w:tcBorders>
              <w:top w:val="single" w:sz="4" w:space="0" w:color="auto"/>
              <w:left w:val="single" w:sz="4" w:space="0" w:color="auto"/>
              <w:bottom w:val="single" w:sz="4" w:space="0" w:color="auto"/>
              <w:right w:val="single" w:sz="4" w:space="0" w:color="auto"/>
            </w:tcBorders>
            <w:noWrap/>
            <w:vAlign w:val="center"/>
          </w:tcPr>
          <w:p w14:paraId="6D7DA4AC" w14:textId="77777777" w:rsidR="009A12EB" w:rsidRDefault="009A12EB" w:rsidP="009A12EB">
            <w:pPr>
              <w:widowControl w:val="0"/>
              <w:jc w:val="both"/>
              <w:rPr>
                <w:rFonts w:cs="Times New Roman"/>
                <w:sz w:val="24"/>
                <w:szCs w:val="24"/>
              </w:rPr>
            </w:pPr>
            <w:r>
              <w:rPr>
                <w:rFonts w:cs="Times New Roman"/>
                <w:sz w:val="24"/>
                <w:szCs w:val="24"/>
              </w:rPr>
              <w:t>Franciaország esetében kétoldalú kapcsolataink jók és kiegyensúlyozottak, a közvetlen intézményi kapcsolatok terén gyakorlatilag minden magyar felsőoktatási és kutatási intézmény rendelkezik franciaországi együttműködő partnerrel. Az európai uniós környezet komoly könnyebbséget jelent a közös kutatási és/vagy mobilitási projektek indításához, ám a kutatás esetében jellemzően nem a magyar fél a konzorcium-vezető. Nem ritkák a közös diplomák sem, az ilyeneket adó képzési együttműködések bővülését a budapesti francia nagykövetség anyagilag is támogatja. A Balaton TéT-mobilitási projekt iránt folyamatosan van érdeklődés, viszont a kétoldalú kutatási kapcsolatokban továbbra hiányzik egy olyan „középpályázat”, ami folytonosságot / átmenetet biztosít a Balaton-program és az EU-s keretprogramokban beadható projektek között, ez ugyanis nagyban javítaná a keretprogramokban való közös indulás esélyeit. Megindult a francia tengerentúli területek fölsőoktatási és kutatási intézményeivel való kapcsolatépítés is, amiben már most több magyar egyetem érintett (SZTE, ELTE. SOE, SZE, Metropolitan), de egyértelműen az SZTE a legaktívabb és a legsikeresebb.</w:t>
            </w:r>
          </w:p>
          <w:p w14:paraId="10389A85" w14:textId="1D1F653B" w:rsidR="00886308" w:rsidRPr="001F3E0E" w:rsidRDefault="009A12EB" w:rsidP="009A12EB">
            <w:pPr>
              <w:jc w:val="both"/>
              <w:rPr>
                <w:rFonts w:cs="Times New Roman"/>
                <w:sz w:val="24"/>
                <w:szCs w:val="24"/>
              </w:rPr>
            </w:pPr>
            <w:r>
              <w:rPr>
                <w:rFonts w:cs="Times New Roman"/>
                <w:sz w:val="24"/>
                <w:szCs w:val="24"/>
              </w:rPr>
              <w:t xml:space="preserve">Marokkó, Algéria és Tunézia vonatkozásában a koronavírus-járvány miatti utazási tiltások miatti megtorpanás után a kétoldalú együttműködésben újraindultak a fizikai kapcsolatok, ám a földrajzi távolságra, a kulturális és politikai különbözőségekre visszavezethető okok továbbra is jelentősen befolyásolhatják a kapcsolatépítés eredményességét. Ezek azonban nem leküzdhetetlen akadályok, a TDF-projektek jelentős segítséget adnak a bővítéshez, várhatóan már néhány éven belül éreztetni fogja hatását a Stipendium-program, ám rövid távon továbbra is elsősorban a kutatói és oktatói </w:t>
            </w:r>
            <w:r>
              <w:rPr>
                <w:rFonts w:cs="Times New Roman"/>
                <w:b/>
                <w:sz w:val="24"/>
                <w:szCs w:val="24"/>
              </w:rPr>
              <w:t xml:space="preserve">kölcsönös </w:t>
            </w:r>
            <w:r>
              <w:rPr>
                <w:rFonts w:cs="Times New Roman"/>
                <w:sz w:val="24"/>
                <w:szCs w:val="24"/>
              </w:rPr>
              <w:t>mobilitás jelenthet érdemi előrelépést.</w:t>
            </w:r>
            <w:r w:rsidR="002A4578">
              <w:rPr>
                <w:rFonts w:cs="Times New Roman"/>
                <w:sz w:val="24"/>
                <w:szCs w:val="24"/>
              </w:rPr>
              <w:t xml:space="preserve"> Algéria esetében – valószínűleg a közelgő elnökválasztás miatt – az utóbbi időben talán még körülményesebbé vált a kapcsolattartás, de reményeink szerint a választások után lesz érdemi javulás ezen a területen. </w:t>
            </w:r>
          </w:p>
        </w:tc>
      </w:tr>
      <w:tr w:rsidR="00886308" w:rsidRPr="001F3E0E" w14:paraId="6A4EEBC0" w14:textId="77777777" w:rsidTr="00410460">
        <w:trPr>
          <w:trHeight w:val="283"/>
        </w:trPr>
        <w:tc>
          <w:tcPr>
            <w:tcW w:w="14737" w:type="dxa"/>
            <w:gridSpan w:val="5"/>
            <w:tcBorders>
              <w:top w:val="single" w:sz="4" w:space="0" w:color="auto"/>
              <w:left w:val="single" w:sz="4" w:space="0" w:color="auto"/>
              <w:bottom w:val="single" w:sz="4" w:space="0" w:color="auto"/>
              <w:right w:val="single" w:sz="4" w:space="0" w:color="auto"/>
            </w:tcBorders>
            <w:hideMark/>
          </w:tcPr>
          <w:p w14:paraId="3BC0B0E4" w14:textId="77777777" w:rsidR="00886308" w:rsidRPr="001F3E0E" w:rsidRDefault="00886308" w:rsidP="00D25CAD">
            <w:pPr>
              <w:rPr>
                <w:rFonts w:cs="Times New Roman"/>
                <w:sz w:val="24"/>
                <w:szCs w:val="24"/>
              </w:rPr>
            </w:pPr>
            <w:r w:rsidRPr="001F3E0E">
              <w:rPr>
                <w:rFonts w:cs="Times New Roman"/>
                <w:sz w:val="24"/>
                <w:szCs w:val="24"/>
              </w:rPr>
              <w:lastRenderedPageBreak/>
              <w:t> </w:t>
            </w:r>
          </w:p>
        </w:tc>
      </w:tr>
      <w:tr w:rsidR="00886308" w:rsidRPr="001F3E0E" w14:paraId="490CF017" w14:textId="77777777" w:rsidTr="004A7EFA">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B7052E" w14:textId="77777777" w:rsidR="00886308" w:rsidRPr="001F3E0E" w:rsidRDefault="00886308" w:rsidP="00E9406C">
            <w:pPr>
              <w:pStyle w:val="Listaszerbekezds"/>
              <w:numPr>
                <w:ilvl w:val="0"/>
                <w:numId w:val="1"/>
              </w:numPr>
              <w:rPr>
                <w:rFonts w:cs="Times New Roman"/>
                <w:b/>
                <w:sz w:val="24"/>
                <w:szCs w:val="24"/>
              </w:rPr>
            </w:pPr>
            <w:r w:rsidRPr="001F3E0E">
              <w:rPr>
                <w:rFonts w:cs="Times New Roman"/>
                <w:b/>
                <w:bCs/>
                <w:sz w:val="24"/>
                <w:szCs w:val="24"/>
              </w:rPr>
              <w:t>Szerződéses kapcsolatok helyzete,</w:t>
            </w:r>
            <w:r w:rsidRPr="001F3E0E">
              <w:rPr>
                <w:rFonts w:cs="Times New Roman"/>
                <w:b/>
                <w:bCs/>
                <w:sz w:val="24"/>
                <w:szCs w:val="24"/>
              </w:rPr>
              <w:br/>
              <w:t xml:space="preserve">megállapodások, egyezmények hatályossága, meghosszabbítása, új egyezmények megkötése a jövőben </w:t>
            </w:r>
          </w:p>
        </w:tc>
        <w:tc>
          <w:tcPr>
            <w:tcW w:w="11340" w:type="dxa"/>
            <w:gridSpan w:val="4"/>
            <w:tcBorders>
              <w:top w:val="single" w:sz="4" w:space="0" w:color="auto"/>
              <w:left w:val="single" w:sz="4" w:space="0" w:color="auto"/>
              <w:bottom w:val="single" w:sz="4" w:space="0" w:color="auto"/>
              <w:right w:val="single" w:sz="4" w:space="0" w:color="auto"/>
            </w:tcBorders>
            <w:vAlign w:val="center"/>
          </w:tcPr>
          <w:p w14:paraId="204C1922" w14:textId="653DC539" w:rsidR="001F5289" w:rsidRPr="00D65125" w:rsidRDefault="001F5289" w:rsidP="001F5289">
            <w:pPr>
              <w:jc w:val="both"/>
              <w:rPr>
                <w:iCs/>
                <w:sz w:val="24"/>
              </w:rPr>
            </w:pPr>
            <w:r w:rsidRPr="000E1C52">
              <w:rPr>
                <w:rFonts w:cs="Times New Roman"/>
                <w:sz w:val="24"/>
                <w:szCs w:val="24"/>
              </w:rPr>
              <w:t>Francia-magyar relációban a rendszeresen megújított, 1966-ban megkötött „Műszaki és Tudományos Együttműködési Egyezmény a Francia Köztársaság Kormánya és a Magyar Népköztársaság Kormánya között”,</w:t>
            </w:r>
            <w:r>
              <w:rPr>
                <w:rFonts w:cs="Times New Roman"/>
                <w:sz w:val="24"/>
                <w:szCs w:val="24"/>
              </w:rPr>
              <w:t xml:space="preserve"> lényegében az az alapja a máig folyamatosan működő kétoldalú TéT-mobilitási programnak (Balaton). Az érdeklődés a lehetőség iránt folyamatos, de az anyagi források – elsősorban francia oldalon történő beszűkülése – miatt a nyertes pályázatok száma a korábbinak csak mintegy fele. M</w:t>
            </w:r>
            <w:r w:rsidRPr="000E1C52">
              <w:rPr>
                <w:rFonts w:cs="Times New Roman"/>
                <w:sz w:val="24"/>
                <w:szCs w:val="24"/>
              </w:rPr>
              <w:t xml:space="preserve">arokkó esetében a 2009-ben aláírt „Intézményközi tudományos és technológiai kétoldalú megállapodás a marokkói CNRST (Nemzeti Tudományos és Technológiai Kutatási Központ) és az NKTH között” tekinthető mérvadónak, ezek alapján kerülnek meghirdetésre a kétoldalú mobilitási pályázatok is. Marokkó és Magyarország között 2021 végén indult el az első kétoldalú középpályázat, ami iránt nagyon komoly érdeklődés mutatkozott mindkét oldalon, ez a beadott projektek számában is megnyilvánult. </w:t>
            </w:r>
            <w:r w:rsidRPr="00D65125">
              <w:rPr>
                <w:iCs/>
                <w:sz w:val="24"/>
              </w:rPr>
              <w:t>Marokkó esetében hatályban van továbbá:</w:t>
            </w:r>
          </w:p>
          <w:p w14:paraId="226CDF2E" w14:textId="77777777" w:rsidR="001F5289" w:rsidRPr="00D65125" w:rsidRDefault="001F5289" w:rsidP="001F5289">
            <w:pPr>
              <w:numPr>
                <w:ilvl w:val="0"/>
                <w:numId w:val="5"/>
              </w:numPr>
              <w:ind w:left="319" w:hanging="319"/>
              <w:jc w:val="both"/>
              <w:rPr>
                <w:sz w:val="24"/>
              </w:rPr>
            </w:pPr>
            <w:r w:rsidRPr="00D65125">
              <w:rPr>
                <w:iCs/>
                <w:sz w:val="24"/>
              </w:rPr>
              <w:t>"Műszaki - tudományos együttműködési megállapodás a Magyar Népköztársaság Kormánya és a Marokkói Királyság Kormánya között",</w:t>
            </w:r>
          </w:p>
          <w:p w14:paraId="45BAB988" w14:textId="77777777" w:rsidR="001F5289" w:rsidRPr="00D65125" w:rsidRDefault="001F5289" w:rsidP="001F5289">
            <w:pPr>
              <w:numPr>
                <w:ilvl w:val="0"/>
                <w:numId w:val="5"/>
              </w:numPr>
              <w:ind w:left="319" w:hanging="319"/>
              <w:jc w:val="both"/>
              <w:rPr>
                <w:sz w:val="24"/>
              </w:rPr>
            </w:pPr>
            <w:r w:rsidRPr="00D65125">
              <w:rPr>
                <w:iCs/>
                <w:sz w:val="24"/>
              </w:rPr>
              <w:t xml:space="preserve">"Kulturális és tudományos együttműködési megállapodás a Magyar Népköztársaság Kormánya és a Marokkói Királyság Kormánya között", </w:t>
            </w:r>
          </w:p>
          <w:p w14:paraId="276C7DBC" w14:textId="77777777" w:rsidR="001F5289" w:rsidRPr="00D65125" w:rsidRDefault="001F5289" w:rsidP="001F5289">
            <w:pPr>
              <w:numPr>
                <w:ilvl w:val="0"/>
                <w:numId w:val="5"/>
              </w:numPr>
              <w:ind w:left="319" w:hanging="319"/>
              <w:jc w:val="both"/>
              <w:rPr>
                <w:sz w:val="24"/>
              </w:rPr>
            </w:pPr>
            <w:r w:rsidRPr="00D65125">
              <w:rPr>
                <w:iCs/>
                <w:sz w:val="24"/>
              </w:rPr>
              <w:t>"Oktatási és Tudományos Együttműködési Megállapodás Magyarország Kormánya nevében az Emberi Erőforrások Minisztériuma és a Marokkói Királyság Kormánya nevében a Közoktatási, Szakképzési, Felsőoktatási és Tudományos Kutatási Minisztérium között,</w:t>
            </w:r>
          </w:p>
          <w:p w14:paraId="08205B49" w14:textId="77777777" w:rsidR="001F5289" w:rsidRPr="00D65125" w:rsidRDefault="001F5289" w:rsidP="001F5289">
            <w:pPr>
              <w:numPr>
                <w:ilvl w:val="0"/>
                <w:numId w:val="5"/>
              </w:numPr>
              <w:ind w:left="319" w:hanging="319"/>
              <w:jc w:val="both"/>
              <w:rPr>
                <w:sz w:val="24"/>
              </w:rPr>
            </w:pPr>
            <w:r w:rsidRPr="00D65125">
              <w:rPr>
                <w:iCs/>
                <w:sz w:val="24"/>
              </w:rPr>
              <w:t>Együttműködési Megállapodás a tudományos kutatásról és technológiáról Magyarország Innovációs és Technológiai Minisztériuma és a Marokkói Királyság Közoktatási, Szakképzési, Felsőoktatási és Tudományos Kutatási Minisztériuma között"</w:t>
            </w:r>
          </w:p>
          <w:p w14:paraId="5987C7E8" w14:textId="7460EAB6" w:rsidR="00886308" w:rsidRPr="001F3E0E" w:rsidRDefault="001F5289" w:rsidP="001F5289">
            <w:pPr>
              <w:jc w:val="both"/>
              <w:rPr>
                <w:rFonts w:cs="Times New Roman"/>
                <w:sz w:val="24"/>
                <w:szCs w:val="24"/>
              </w:rPr>
            </w:pPr>
            <w:r>
              <w:rPr>
                <w:rFonts w:cs="Times New Roman"/>
                <w:sz w:val="24"/>
                <w:szCs w:val="24"/>
              </w:rPr>
              <w:t>Algéria esetében a keretet a „</w:t>
            </w:r>
            <w:r w:rsidRPr="00D65125">
              <w:rPr>
                <w:rFonts w:cs="Times New Roman"/>
                <w:sz w:val="24"/>
                <w:szCs w:val="24"/>
              </w:rPr>
              <w:t>Tudományos és Műszaki Együttműködési Megállapodás a Magyar Népköztársaság Kormánya és az Algériai Demokratikus és Népi Köztársaság Kormánya között</w:t>
            </w:r>
            <w:r>
              <w:rPr>
                <w:rFonts w:cs="Times New Roman"/>
                <w:sz w:val="24"/>
                <w:szCs w:val="24"/>
              </w:rPr>
              <w:t xml:space="preserve">”, míg Tunézia vonatkozásában </w:t>
            </w:r>
            <w:r w:rsidRPr="0009329D">
              <w:rPr>
                <w:rFonts w:cs="Times New Roman"/>
                <w:sz w:val="24"/>
                <w:szCs w:val="24"/>
              </w:rPr>
              <w:t>1966. óta létez</w:t>
            </w:r>
            <w:r>
              <w:rPr>
                <w:rFonts w:cs="Times New Roman"/>
                <w:sz w:val="24"/>
                <w:szCs w:val="24"/>
              </w:rPr>
              <w:t xml:space="preserve">ik kormányközi TéT megállapodás. Tunéziával utoljára 2013 </w:t>
            </w:r>
            <w:hyperlink r:id="rId9" w:history="1">
              <w:r w:rsidRPr="002510D5">
                <w:rPr>
                  <w:rStyle w:val="Hiperhivatkozs"/>
                  <w:rFonts w:cs="Times New Roman"/>
                  <w:sz w:val="24"/>
                  <w:szCs w:val="24"/>
                </w:rPr>
                <w:t>decemberében írtunk alá</w:t>
              </w:r>
            </w:hyperlink>
            <w:r>
              <w:rPr>
                <w:rFonts w:cs="Times New Roman"/>
                <w:sz w:val="24"/>
                <w:szCs w:val="24"/>
              </w:rPr>
              <w:t xml:space="preserve"> </w:t>
            </w:r>
            <w:r w:rsidRPr="00BC0548">
              <w:rPr>
                <w:rFonts w:cs="Times New Roman"/>
                <w:sz w:val="24"/>
                <w:szCs w:val="24"/>
              </w:rPr>
              <w:t>oktatási és tudományos együttműködési munkaterv</w:t>
            </w:r>
            <w:r>
              <w:rPr>
                <w:rFonts w:cs="Times New Roman"/>
                <w:sz w:val="24"/>
                <w:szCs w:val="24"/>
              </w:rPr>
              <w:t>et, majd a</w:t>
            </w:r>
            <w:r w:rsidRPr="000451EB">
              <w:rPr>
                <w:rFonts w:cs="Times New Roman"/>
                <w:sz w:val="24"/>
                <w:szCs w:val="24"/>
              </w:rPr>
              <w:t xml:space="preserve"> 2019 tavaszi GVB előtt a tunéziai Felsőoktatási és Tudományos Kutatási Minisztérium javaslatot tett tudományos és technológiai kormányközi együttműködési megállapodás kötésére</w:t>
            </w:r>
            <w:r>
              <w:rPr>
                <w:rFonts w:cs="Times New Roman"/>
                <w:sz w:val="24"/>
                <w:szCs w:val="24"/>
              </w:rPr>
              <w:t xml:space="preserve">. Az ITM viszont ezt ahhoz a föltételhez kötötte, hogy legyen érdemi érdeklődés mindkét oldalról, továbbá pontosan legyen meghatározva azon tudományterületek köre, amikről pályázni lehet. </w:t>
            </w:r>
            <w:r w:rsidRPr="000E1C52">
              <w:rPr>
                <w:rFonts w:cs="Times New Roman"/>
                <w:sz w:val="24"/>
                <w:szCs w:val="24"/>
              </w:rPr>
              <w:t>Sajnos Algéria és Tunézia vonatkozásában</w:t>
            </w:r>
            <w:r>
              <w:rPr>
                <w:rFonts w:cs="Times New Roman"/>
                <w:sz w:val="24"/>
                <w:szCs w:val="24"/>
              </w:rPr>
              <w:t xml:space="preserve"> a CNRST-NKFIH közötti megállapodásra</w:t>
            </w:r>
            <w:r w:rsidRPr="000E1C52">
              <w:rPr>
                <w:rFonts w:cs="Times New Roman"/>
                <w:sz w:val="24"/>
                <w:szCs w:val="24"/>
              </w:rPr>
              <w:t xml:space="preserve"> </w:t>
            </w:r>
            <w:r>
              <w:rPr>
                <w:rFonts w:cs="Times New Roman"/>
                <w:sz w:val="24"/>
                <w:szCs w:val="24"/>
              </w:rPr>
              <w:t xml:space="preserve">nincs </w:t>
            </w:r>
            <w:r w:rsidRPr="000E1C52">
              <w:rPr>
                <w:rFonts w:cs="Times New Roman"/>
                <w:sz w:val="24"/>
                <w:szCs w:val="24"/>
              </w:rPr>
              <w:t xml:space="preserve">példa, így e két utóbbi ország esetében </w:t>
            </w:r>
            <w:r>
              <w:rPr>
                <w:rFonts w:cs="Times New Roman"/>
                <w:sz w:val="24"/>
                <w:szCs w:val="24"/>
              </w:rPr>
              <w:t xml:space="preserve">gyakorlatilag </w:t>
            </w:r>
            <w:r w:rsidRPr="000E1C52">
              <w:rPr>
                <w:rFonts w:cs="Times New Roman"/>
                <w:sz w:val="24"/>
                <w:szCs w:val="24"/>
              </w:rPr>
              <w:t xml:space="preserve">csak az egyetemek, kutatóintézetek között közvetlenül megkötött együttműködési megállapodások jelenthetnek bizonyos keretet, ám ez önmagában semmilyen finanszírozási hátteret nem tételez föl, amin mindenképpen változtatni érdemes. Bizonyos szempontból sajnálatos, hogy a fölsőoktatási intézmények </w:t>
            </w:r>
            <w:r>
              <w:rPr>
                <w:rFonts w:cs="Times New Roman"/>
                <w:sz w:val="24"/>
                <w:szCs w:val="24"/>
              </w:rPr>
              <w:t xml:space="preserve">általában </w:t>
            </w:r>
            <w:r w:rsidRPr="000E1C52">
              <w:rPr>
                <w:rFonts w:cs="Times New Roman"/>
                <w:sz w:val="24"/>
                <w:szCs w:val="24"/>
              </w:rPr>
              <w:t>nem érzik fontosnak a külképviseletek tájékoztatását a megkötött együttműködési megállapodásokról, így csak a véletlennek vagy a személyes kapcsolatoknak köszönhetően szerezhetünk ezekről tudomást.</w:t>
            </w:r>
            <w:r>
              <w:rPr>
                <w:rFonts w:cs="Times New Roman"/>
                <w:sz w:val="24"/>
                <w:szCs w:val="24"/>
              </w:rPr>
              <w:t xml:space="preserve"> Az SZTE MGK 2022 februárjában beadott Erasmus KA171-es pályázata sikeres volt, ebben a korábbi fordulóhoz képest Tunézia és Marokkó mellett Algéria is szerepel, a partnerintézményekkel a szerződéseket az SZTE megkötötte, a mobilitások folyamatosak. </w:t>
            </w:r>
            <w:r>
              <w:rPr>
                <w:rFonts w:cs="Times New Roman"/>
                <w:sz w:val="24"/>
                <w:szCs w:val="24"/>
              </w:rPr>
              <w:lastRenderedPageBreak/>
              <w:t xml:space="preserve">Tunéziában a nagykövetség által szervezett és KTDF-támogatású tuományos napnak köszönhetően az ELTE és az </w:t>
            </w:r>
            <w:r w:rsidRPr="00BC0548">
              <w:rPr>
                <w:rFonts w:cs="Times New Roman"/>
                <w:sz w:val="24"/>
                <w:szCs w:val="24"/>
              </w:rPr>
              <w:t>Université de Tunis El Manar</w:t>
            </w:r>
            <w:r>
              <w:rPr>
                <w:rFonts w:cs="Times New Roman"/>
                <w:sz w:val="24"/>
                <w:szCs w:val="24"/>
              </w:rPr>
              <w:t xml:space="preserve"> megállapodást kötött.</w:t>
            </w:r>
          </w:p>
        </w:tc>
      </w:tr>
      <w:tr w:rsidR="00886308" w:rsidRPr="001F3E0E" w14:paraId="51C8F10B" w14:textId="77777777" w:rsidTr="00410460">
        <w:trPr>
          <w:trHeight w:val="283"/>
        </w:trPr>
        <w:tc>
          <w:tcPr>
            <w:tcW w:w="1473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0636FE9" w14:textId="77777777" w:rsidR="00886308" w:rsidRPr="001F3E0E" w:rsidRDefault="00886308" w:rsidP="00D25CAD">
            <w:pPr>
              <w:rPr>
                <w:rFonts w:cs="Times New Roman"/>
                <w:sz w:val="24"/>
                <w:szCs w:val="24"/>
              </w:rPr>
            </w:pPr>
          </w:p>
        </w:tc>
      </w:tr>
      <w:tr w:rsidR="00886308" w:rsidRPr="001F3E0E" w14:paraId="1F248FAC" w14:textId="77777777" w:rsidTr="004A7EFA">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42411" w14:textId="77777777" w:rsidR="00886308" w:rsidRPr="001F3E0E" w:rsidRDefault="00886308" w:rsidP="00886308">
            <w:pPr>
              <w:pStyle w:val="Listaszerbekezds"/>
              <w:numPr>
                <w:ilvl w:val="0"/>
                <w:numId w:val="1"/>
              </w:numPr>
              <w:shd w:val="clear" w:color="auto" w:fill="D9D9D9" w:themeFill="background1" w:themeFillShade="D9"/>
              <w:rPr>
                <w:rFonts w:cs="Times New Roman"/>
                <w:b/>
                <w:sz w:val="24"/>
                <w:szCs w:val="24"/>
              </w:rPr>
            </w:pPr>
            <w:r w:rsidRPr="001F3E0E">
              <w:rPr>
                <w:rFonts w:cs="Times New Roman"/>
                <w:b/>
                <w:sz w:val="24"/>
                <w:szCs w:val="24"/>
              </w:rPr>
              <w:t>Multilaterális együttműködés az adott relációban</w:t>
            </w:r>
          </w:p>
        </w:tc>
        <w:tc>
          <w:tcPr>
            <w:tcW w:w="11340" w:type="dxa"/>
            <w:gridSpan w:val="4"/>
            <w:tcBorders>
              <w:top w:val="single" w:sz="4" w:space="0" w:color="auto"/>
              <w:left w:val="single" w:sz="4" w:space="0" w:color="auto"/>
              <w:bottom w:val="single" w:sz="4" w:space="0" w:color="auto"/>
              <w:right w:val="single" w:sz="4" w:space="0" w:color="auto"/>
            </w:tcBorders>
            <w:vAlign w:val="center"/>
            <w:hideMark/>
          </w:tcPr>
          <w:p w14:paraId="73B44107" w14:textId="33C08954" w:rsidR="00B27693" w:rsidRPr="00191F88" w:rsidRDefault="00B27693" w:rsidP="00B27693">
            <w:pPr>
              <w:widowControl w:val="0"/>
              <w:jc w:val="both"/>
              <w:rPr>
                <w:rFonts w:cs="Times New Roman"/>
                <w:sz w:val="24"/>
                <w:szCs w:val="24"/>
              </w:rPr>
            </w:pPr>
            <w:r w:rsidRPr="00191F88">
              <w:rPr>
                <w:rFonts w:cs="Times New Roman"/>
                <w:sz w:val="24"/>
                <w:szCs w:val="24"/>
              </w:rPr>
              <w:t xml:space="preserve">A multilaterális együttműködésben meghatározó szerepet töltenek be az EU-s kutatási programokban megvalósuló projektek, ezekben nem csak EU-tagországok, hanem harmadik országok is részt vesznek, a magyar partnerek rendszerint konzorciumi partnerként. Itt kell említeni az európai egyetemek-programot, ahol hazánk hat olyan projektben részes, amiben francia partner(ek) is van(nak). A franciaországi, európai vagy más nemzetközi együttműködésben megvalósult kutatási nagyberendezések működtetésére létrehozott konzorciumok sorában Magyarország (Csehországgal és Szlovákiával közösen 1,05%-nyi részesedéssel) </w:t>
            </w:r>
            <w:hyperlink r:id="rId10" w:history="1">
              <w:r w:rsidRPr="00191F88">
                <w:rPr>
                  <w:rFonts w:cs="Times New Roman"/>
                  <w:color w:val="0563C1" w:themeColor="hyperlink"/>
                  <w:sz w:val="24"/>
                  <w:szCs w:val="24"/>
                  <w:u w:val="single"/>
                </w:rPr>
                <w:t>társult tudományos tagja</w:t>
              </w:r>
            </w:hyperlink>
            <w:r w:rsidRPr="00191F88">
              <w:rPr>
                <w:rFonts w:cs="Times New Roman"/>
                <w:sz w:val="24"/>
                <w:szCs w:val="24"/>
              </w:rPr>
              <w:t xml:space="preserve"> az Európai Részecskegyorsítónak (ESRF). Sajnos hazánk egyelőre </w:t>
            </w:r>
            <w:hyperlink r:id="rId11" w:history="1">
              <w:r w:rsidRPr="00191F88">
                <w:rPr>
                  <w:rFonts w:cs="Times New Roman"/>
                  <w:color w:val="0563C1" w:themeColor="hyperlink"/>
                  <w:sz w:val="24"/>
                  <w:szCs w:val="24"/>
                  <w:u w:val="single"/>
                </w:rPr>
                <w:t>társult tagként sem vesz részt</w:t>
              </w:r>
            </w:hyperlink>
            <w:r w:rsidRPr="00191F88">
              <w:rPr>
                <w:rFonts w:cs="Times New Roman"/>
                <w:sz w:val="24"/>
                <w:szCs w:val="24"/>
              </w:rPr>
              <w:t xml:space="preserve"> a grenoble-i neutronkutató (ILL) munkájában, viszont mint EU-tagország, közvetetten részese a nemzetközi termonukleáris reaktor-projektnek, a Dél-Franciaországban épülő </w:t>
            </w:r>
            <w:hyperlink r:id="rId12" w:history="1">
              <w:r w:rsidRPr="00191F88">
                <w:rPr>
                  <w:rFonts w:cs="Times New Roman"/>
                  <w:color w:val="0563C1" w:themeColor="hyperlink"/>
                  <w:sz w:val="24"/>
                  <w:szCs w:val="24"/>
                  <w:u w:val="single"/>
                </w:rPr>
                <w:t>ITER</w:t>
              </w:r>
            </w:hyperlink>
            <w:r w:rsidRPr="00191F88">
              <w:rPr>
                <w:rFonts w:cs="Times New Roman"/>
                <w:sz w:val="24"/>
                <w:szCs w:val="24"/>
              </w:rPr>
              <w:t>-nek.</w:t>
            </w:r>
          </w:p>
          <w:p w14:paraId="0D3A5E9E" w14:textId="77777777" w:rsidR="00886308" w:rsidRDefault="00B27693" w:rsidP="00B27693">
            <w:pPr>
              <w:jc w:val="both"/>
              <w:rPr>
                <w:rFonts w:cs="Times New Roman"/>
                <w:sz w:val="24"/>
                <w:szCs w:val="24"/>
              </w:rPr>
            </w:pPr>
            <w:r w:rsidRPr="00191F88">
              <w:rPr>
                <w:rFonts w:cs="Times New Roman"/>
                <w:sz w:val="24"/>
                <w:szCs w:val="24"/>
              </w:rPr>
              <w:t>A multilaterális együttműködéshez sorolható a párizsi székhelyű Európai Űrügynökséggel (ESA) fönntartott kapcsolat, különösen annak fényében, hogy hazánk a szervezet teljes jogú tagja. Nagykövetségünk TéT-attaséja ESA IRC-delegáltként rendszeresen részt vesz az üléseken, valamint tevékenyen részt vesz a magyar űripari szereplők tájékoztatásában Mivel Magyarország kötelező befizetésének része a kourou-i űrközpont fenntartása is, így ebben a témában is visszapályázhatjuk a befizetett összeget</w:t>
            </w:r>
            <w:r>
              <w:rPr>
                <w:rFonts w:cs="Times New Roman"/>
                <w:sz w:val="24"/>
                <w:szCs w:val="24"/>
              </w:rPr>
              <w:t>, ezért</w:t>
            </w:r>
            <w:r w:rsidRPr="00191F88">
              <w:rPr>
                <w:rFonts w:cs="Times New Roman"/>
                <w:sz w:val="24"/>
                <w:szCs w:val="24"/>
              </w:rPr>
              <w:t xml:space="preserve"> folytatjuk azt a munkát, ami egy magyar űripari delegáció francia-guyanai kiutazásán keresztül lehetővé teheti a magyar cégek minél eredményesebb pályázati tevékenységét.</w:t>
            </w:r>
          </w:p>
          <w:p w14:paraId="5323CAB6" w14:textId="686AC09F" w:rsidR="00B27693" w:rsidRPr="001F3E0E" w:rsidRDefault="00B27693" w:rsidP="00B27693">
            <w:pPr>
              <w:jc w:val="both"/>
              <w:rPr>
                <w:rFonts w:cs="Times New Roman"/>
                <w:sz w:val="24"/>
                <w:szCs w:val="24"/>
              </w:rPr>
            </w:pPr>
            <w:r>
              <w:rPr>
                <w:rFonts w:cs="Times New Roman"/>
                <w:sz w:val="24"/>
                <w:szCs w:val="24"/>
              </w:rPr>
              <w:t xml:space="preserve">Elsősorban a regionális akkreditációval érintett országokkal történő kapcsolatainkban jelenthetne érdemi előrelépést az, hogy </w:t>
            </w:r>
            <w:r w:rsidR="00AA6752" w:rsidRPr="00AA6752">
              <w:rPr>
                <w:bCs/>
                <w:sz w:val="24"/>
                <w:szCs w:val="24"/>
              </w:rPr>
              <w:t xml:space="preserve">2011-ben Magyarország a letéteményes Franciaország után elsőként írta alá a </w:t>
            </w:r>
            <w:hyperlink r:id="rId13" w:history="1">
              <w:r w:rsidR="00AA6752" w:rsidRPr="00B27693">
                <w:rPr>
                  <w:rStyle w:val="Hiperhivatkozs"/>
                  <w:rFonts w:cs="Times New Roman"/>
                  <w:sz w:val="24"/>
                  <w:szCs w:val="24"/>
                </w:rPr>
                <w:t>CGIAR</w:t>
              </w:r>
            </w:hyperlink>
            <w:r w:rsidR="00AA6752">
              <w:rPr>
                <w:rStyle w:val="Lbjegyzet-hivatkozs"/>
                <w:rFonts w:cs="Times New Roman"/>
                <w:sz w:val="24"/>
                <w:szCs w:val="24"/>
              </w:rPr>
              <w:footnoteReference w:id="1"/>
            </w:r>
            <w:r w:rsidR="00AA6752" w:rsidRPr="00AA6752">
              <w:rPr>
                <w:bCs/>
                <w:sz w:val="24"/>
                <w:szCs w:val="24"/>
              </w:rPr>
              <w:t xml:space="preserve">, mint </w:t>
            </w:r>
            <w:r w:rsidR="00AA6752">
              <w:rPr>
                <w:bCs/>
                <w:sz w:val="24"/>
                <w:szCs w:val="24"/>
              </w:rPr>
              <w:t xml:space="preserve">diplomáciai státussal rendelkező </w:t>
            </w:r>
            <w:r w:rsidR="00AA6752" w:rsidRPr="00AA6752">
              <w:rPr>
                <w:bCs/>
                <w:sz w:val="24"/>
                <w:szCs w:val="24"/>
              </w:rPr>
              <w:t>nemzetközi szervezet létrehozásáról, valamint székhelyeként Montpellier-t</w:t>
            </w:r>
            <w:r w:rsidR="00AA6752">
              <w:rPr>
                <w:rStyle w:val="Lbjegyzet-hivatkozs"/>
                <w:bCs/>
                <w:sz w:val="24"/>
                <w:szCs w:val="24"/>
              </w:rPr>
              <w:footnoteReference w:id="2"/>
            </w:r>
            <w:r w:rsidR="00AA6752" w:rsidRPr="00AA6752">
              <w:rPr>
                <w:bCs/>
                <w:sz w:val="24"/>
                <w:szCs w:val="24"/>
              </w:rPr>
              <w:t xml:space="preserve"> kijelölő dokumentumot és ezt kormányrendelet</w:t>
            </w:r>
            <w:r w:rsidR="00AA6752" w:rsidRPr="00AA6752">
              <w:rPr>
                <w:rStyle w:val="Lbjegyzet-hivatkozs"/>
                <w:bCs/>
                <w:sz w:val="24"/>
                <w:szCs w:val="24"/>
              </w:rPr>
              <w:footnoteReference w:id="3"/>
            </w:r>
            <w:r w:rsidR="00AA6752" w:rsidRPr="00AA6752">
              <w:rPr>
                <w:bCs/>
                <w:sz w:val="24"/>
                <w:szCs w:val="24"/>
              </w:rPr>
              <w:t xml:space="preserve"> erősíti meg</w:t>
            </w:r>
            <w:r w:rsidR="00AA6752">
              <w:rPr>
                <w:bCs/>
                <w:sz w:val="24"/>
                <w:szCs w:val="24"/>
              </w:rPr>
              <w:t>, á</w:t>
            </w:r>
            <w:r w:rsidRPr="00B27693">
              <w:rPr>
                <w:rFonts w:cs="Times New Roman"/>
                <w:sz w:val="24"/>
                <w:szCs w:val="24"/>
              </w:rPr>
              <w:t>m ennek minden tudománydiplomáciai hozadéka ellenére a mai napig nem tudni szorosabb kapcsolatról hazánk és a CGIAR között.</w:t>
            </w:r>
            <w:r>
              <w:rPr>
                <w:rFonts w:cs="Times New Roman"/>
                <w:sz w:val="24"/>
                <w:szCs w:val="24"/>
              </w:rPr>
              <w:t xml:space="preserve"> A CGIAR-hálózathoz tartozó </w:t>
            </w:r>
            <w:hyperlink r:id="rId14" w:history="1">
              <w:r w:rsidRPr="00AA6752">
                <w:rPr>
                  <w:rStyle w:val="Hiperhivatkozs"/>
                  <w:rFonts w:cs="Times New Roman"/>
                  <w:sz w:val="24"/>
                  <w:szCs w:val="24"/>
                </w:rPr>
                <w:t>ICARDA</w:t>
              </w:r>
            </w:hyperlink>
            <w:r w:rsidR="00AA6752">
              <w:rPr>
                <w:rStyle w:val="Lbjegyzet-hivatkozs"/>
                <w:rFonts w:cs="Times New Roman"/>
                <w:sz w:val="24"/>
                <w:szCs w:val="24"/>
              </w:rPr>
              <w:footnoteReference w:id="4"/>
            </w:r>
            <w:r w:rsidRPr="00B27693">
              <w:rPr>
                <w:rFonts w:cs="Times New Roman"/>
                <w:sz w:val="24"/>
                <w:szCs w:val="24"/>
              </w:rPr>
              <w:t xml:space="preserve"> Marokkóban </w:t>
            </w:r>
            <w:r>
              <w:rPr>
                <w:rFonts w:cs="Times New Roman"/>
                <w:sz w:val="24"/>
                <w:szCs w:val="24"/>
              </w:rPr>
              <w:t>mára</w:t>
            </w:r>
            <w:r w:rsidRPr="00B27693">
              <w:rPr>
                <w:rFonts w:cs="Times New Roman"/>
                <w:sz w:val="24"/>
                <w:szCs w:val="24"/>
              </w:rPr>
              <w:t xml:space="preserve"> nagyon komoly kapcsolatot épített ki a különböző kutatóintézetekkel (elsősorban az </w:t>
            </w:r>
            <w:hyperlink r:id="rId15" w:history="1">
              <w:r w:rsidRPr="00B27693">
                <w:rPr>
                  <w:rStyle w:val="Hiperhivatkozs"/>
                  <w:rFonts w:cs="Times New Roman"/>
                  <w:sz w:val="24"/>
                  <w:szCs w:val="24"/>
                </w:rPr>
                <w:t>INRÁ</w:t>
              </w:r>
            </w:hyperlink>
            <w:r w:rsidRPr="00B27693">
              <w:rPr>
                <w:rStyle w:val="Lbjegyzet-hivatkozs"/>
                <w:rFonts w:cs="Times New Roman"/>
                <w:sz w:val="24"/>
                <w:szCs w:val="24"/>
              </w:rPr>
              <w:footnoteReference w:id="5"/>
            </w:r>
            <w:r w:rsidRPr="00B27693">
              <w:rPr>
                <w:rFonts w:cs="Times New Roman"/>
                <w:sz w:val="24"/>
                <w:szCs w:val="24"/>
              </w:rPr>
              <w:t xml:space="preserve">-val) és több felsőoktatási intézménnyel, </w:t>
            </w:r>
            <w:r>
              <w:rPr>
                <w:rFonts w:cs="Times New Roman"/>
                <w:sz w:val="24"/>
                <w:szCs w:val="24"/>
              </w:rPr>
              <w:t>többek között</w:t>
            </w:r>
            <w:r w:rsidRPr="00B27693">
              <w:rPr>
                <w:rFonts w:cs="Times New Roman"/>
                <w:sz w:val="24"/>
                <w:szCs w:val="24"/>
              </w:rPr>
              <w:t xml:space="preserve"> az </w:t>
            </w:r>
            <w:hyperlink r:id="rId16" w:history="1">
              <w:r w:rsidRPr="00B27693">
                <w:rPr>
                  <w:rStyle w:val="Hiperhivatkozs"/>
                  <w:rFonts w:cs="Times New Roman"/>
                  <w:sz w:val="24"/>
                  <w:szCs w:val="24"/>
                </w:rPr>
                <w:t>Université Mohamed VI-Polytecnique</w:t>
              </w:r>
            </w:hyperlink>
            <w:r w:rsidRPr="00B27693">
              <w:rPr>
                <w:rStyle w:val="Lbjegyzet-hivatkozs"/>
                <w:rFonts w:cs="Times New Roman"/>
                <w:sz w:val="24"/>
                <w:szCs w:val="24"/>
              </w:rPr>
              <w:footnoteReference w:id="6"/>
            </w:r>
            <w:r w:rsidRPr="00B27693">
              <w:rPr>
                <w:rFonts w:cs="Times New Roman"/>
                <w:sz w:val="24"/>
                <w:szCs w:val="24"/>
              </w:rPr>
              <w:t>-</w:t>
            </w:r>
            <w:r>
              <w:rPr>
                <w:rFonts w:cs="Times New Roman"/>
                <w:sz w:val="24"/>
                <w:szCs w:val="24"/>
              </w:rPr>
              <w:t>kel,</w:t>
            </w:r>
            <w:r w:rsidRPr="00B27693">
              <w:rPr>
                <w:rFonts w:cs="Times New Roman"/>
                <w:sz w:val="24"/>
                <w:szCs w:val="24"/>
              </w:rPr>
              <w:t xml:space="preserve"> akivel együttműködve doktoranduszokat fogadnak számos afrikai országból olyan speciális témákra, amik az adott ország élelmezés-biztonságának erősítésében fontos szerepet játszhatnak.</w:t>
            </w:r>
            <w:r>
              <w:rPr>
                <w:rFonts w:cs="Times New Roman"/>
                <w:sz w:val="24"/>
                <w:szCs w:val="24"/>
              </w:rPr>
              <w:t xml:space="preserve"> H</w:t>
            </w:r>
            <w:r w:rsidRPr="00B27693">
              <w:rPr>
                <w:rFonts w:cs="Times New Roman"/>
                <w:sz w:val="24"/>
                <w:szCs w:val="24"/>
              </w:rPr>
              <w:t xml:space="preserve">azánk nemzetközi agrárkutatási együttműködésekben betöltött szerepét nagymértékben erősítené, ha Magyarország a világban egyre inkább megkerülhetetlen – és ez hatványozottan igaz a fejlesztési célú agrárkutatásokra – szerepet játszó CGIAR-hoz olyan </w:t>
            </w:r>
            <w:r w:rsidRPr="00B27693">
              <w:rPr>
                <w:rFonts w:cs="Times New Roman"/>
                <w:sz w:val="24"/>
                <w:szCs w:val="24"/>
              </w:rPr>
              <w:lastRenderedPageBreak/>
              <w:t>formában közeledne, ahol egyfajta összefogó, koordináló szerepet tölt be Közép-Európa agrárkutatási intézményei felé. Ez nem csak jelentősen megkönnyítené a lehetséges együttműködési területek pontos meghatározását, hanem megnyitná az utat olyan regionális partnerségek előtt, amik eredményeként Magyarország más közép-európai országokkal közösen részesévé válna a CGIAR irányítási és döntéshozói mechanizmusainak is. Az ICARDA rendkívül jó partner lehet olyan, magyar kezdeményezésű fejlesztési projektek megvalósításában is – elsősorban az afrikai kontinensen -, ahol a cél a kedvezményezett területek élelmezésbiztonságának javítása, ezen keresztül pedig a migrációs hajlandóság csökkentése.</w:t>
            </w:r>
          </w:p>
        </w:tc>
      </w:tr>
      <w:tr w:rsidR="00886308" w:rsidRPr="001F3E0E" w14:paraId="5091293A" w14:textId="77777777" w:rsidTr="00410460">
        <w:trPr>
          <w:trHeight w:val="260"/>
        </w:trPr>
        <w:tc>
          <w:tcPr>
            <w:tcW w:w="14737" w:type="dxa"/>
            <w:gridSpan w:val="5"/>
            <w:tcBorders>
              <w:top w:val="single" w:sz="4" w:space="0" w:color="auto"/>
              <w:left w:val="single" w:sz="4" w:space="0" w:color="auto"/>
              <w:bottom w:val="single" w:sz="4" w:space="0" w:color="auto"/>
              <w:right w:val="single" w:sz="4" w:space="0" w:color="auto"/>
            </w:tcBorders>
            <w:hideMark/>
          </w:tcPr>
          <w:p w14:paraId="58A86E02" w14:textId="77777777" w:rsidR="00886308" w:rsidRPr="001F3E0E" w:rsidRDefault="00886308" w:rsidP="00D25CAD">
            <w:pPr>
              <w:rPr>
                <w:rFonts w:cs="Times New Roman"/>
                <w:sz w:val="24"/>
                <w:szCs w:val="24"/>
              </w:rPr>
            </w:pPr>
            <w:r w:rsidRPr="001F3E0E">
              <w:rPr>
                <w:rFonts w:cs="Times New Roman"/>
                <w:sz w:val="24"/>
                <w:szCs w:val="24"/>
              </w:rPr>
              <w:lastRenderedPageBreak/>
              <w:t> </w:t>
            </w:r>
          </w:p>
        </w:tc>
      </w:tr>
      <w:tr w:rsidR="00886308" w:rsidRPr="001F3E0E" w14:paraId="2CF14D43" w14:textId="77777777" w:rsidTr="004A7EFA">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E7827D" w14:textId="77777777" w:rsidR="00886308" w:rsidRPr="004A7EFA" w:rsidRDefault="00886308" w:rsidP="004A7EFA">
            <w:pPr>
              <w:pStyle w:val="Listaszerbekezds"/>
              <w:numPr>
                <w:ilvl w:val="0"/>
                <w:numId w:val="1"/>
              </w:numPr>
              <w:rPr>
                <w:rFonts w:cs="Times New Roman"/>
                <w:b/>
                <w:sz w:val="24"/>
                <w:szCs w:val="24"/>
              </w:rPr>
            </w:pPr>
            <w:r w:rsidRPr="001F3E0E">
              <w:rPr>
                <w:rFonts w:cs="Times New Roman"/>
                <w:b/>
                <w:sz w:val="24"/>
                <w:szCs w:val="24"/>
              </w:rPr>
              <w:t>Felsőoktatás helyzete, magyar diákok, oktatók a fogadó országban, a fogadó ország diákjai, oktatói Magyarországon</w:t>
            </w:r>
          </w:p>
        </w:tc>
        <w:tc>
          <w:tcPr>
            <w:tcW w:w="11340" w:type="dxa"/>
            <w:gridSpan w:val="4"/>
            <w:tcBorders>
              <w:top w:val="single" w:sz="4" w:space="0" w:color="auto"/>
              <w:left w:val="single" w:sz="4" w:space="0" w:color="auto"/>
              <w:bottom w:val="single" w:sz="4" w:space="0" w:color="auto"/>
              <w:right w:val="single" w:sz="4" w:space="0" w:color="auto"/>
            </w:tcBorders>
            <w:vAlign w:val="center"/>
          </w:tcPr>
          <w:p w14:paraId="05554988" w14:textId="77777777" w:rsidR="00AA6752" w:rsidRPr="00A6420A" w:rsidRDefault="00AA6752" w:rsidP="00AA6752">
            <w:pPr>
              <w:widowControl w:val="0"/>
              <w:jc w:val="both"/>
              <w:rPr>
                <w:rFonts w:eastAsia="Times New Roman" w:cs="Times New Roman"/>
                <w:sz w:val="24"/>
                <w:szCs w:val="24"/>
                <w:lang w:eastAsia="hu-HU"/>
              </w:rPr>
            </w:pPr>
            <w:r w:rsidRPr="00A6420A">
              <w:rPr>
                <w:rFonts w:eastAsia="Times New Roman" w:cs="Times New Roman"/>
                <w:sz w:val="24"/>
                <w:szCs w:val="24"/>
                <w:lang w:eastAsia="hu-HU"/>
              </w:rPr>
              <w:t xml:space="preserve">Franciaországban az egyetemi autonómia kiépítése és az egyetemi rendszer reformja után az elkövetkezendő éveket a </w:t>
            </w:r>
            <w:r>
              <w:rPr>
                <w:rFonts w:eastAsia="Times New Roman" w:cs="Times New Roman"/>
                <w:sz w:val="24"/>
                <w:szCs w:val="24"/>
                <w:lang w:eastAsia="hu-HU"/>
              </w:rPr>
              <w:t>2021-ben</w:t>
            </w:r>
            <w:r w:rsidRPr="00A6420A">
              <w:rPr>
                <w:rFonts w:eastAsia="Times New Roman" w:cs="Times New Roman"/>
                <w:sz w:val="24"/>
                <w:szCs w:val="24"/>
                <w:lang w:eastAsia="hu-HU"/>
              </w:rPr>
              <w:t xml:space="preserve"> hatályba lépett új kutatási programozási törvény </w:t>
            </w:r>
            <w:r>
              <w:rPr>
                <w:rFonts w:eastAsia="Times New Roman" w:cs="Times New Roman"/>
                <w:sz w:val="24"/>
                <w:szCs w:val="24"/>
                <w:lang w:eastAsia="hu-HU"/>
              </w:rPr>
              <w:t>határozza meg</w:t>
            </w:r>
            <w:r w:rsidRPr="00A6420A">
              <w:rPr>
                <w:rFonts w:eastAsia="Times New Roman" w:cs="Times New Roman"/>
                <w:sz w:val="24"/>
                <w:szCs w:val="24"/>
                <w:lang w:eastAsia="hu-HU"/>
              </w:rPr>
              <w:t xml:space="preserve">. Ez a gyakorlatban két kihívásra igyekszik a fölsőoktatás és a kutatás számára választ adni: </w:t>
            </w:r>
          </w:p>
          <w:p w14:paraId="33F2A57F" w14:textId="77777777" w:rsidR="00AA6752" w:rsidRPr="00A6420A" w:rsidRDefault="00AA6752" w:rsidP="00AA6752">
            <w:pPr>
              <w:widowControl w:val="0"/>
              <w:numPr>
                <w:ilvl w:val="1"/>
                <w:numId w:val="6"/>
              </w:numPr>
              <w:ind w:left="851" w:hanging="425"/>
              <w:jc w:val="both"/>
              <w:rPr>
                <w:rFonts w:eastAsia="Times New Roman" w:cs="Times New Roman"/>
                <w:sz w:val="24"/>
                <w:szCs w:val="24"/>
                <w:lang w:eastAsia="hu-HU"/>
              </w:rPr>
            </w:pPr>
            <w:r w:rsidRPr="00A6420A">
              <w:rPr>
                <w:rFonts w:eastAsia="Times New Roman" w:cs="Times New Roman"/>
                <w:sz w:val="24"/>
                <w:szCs w:val="24"/>
                <w:lang w:eastAsia="hu-HU"/>
              </w:rPr>
              <w:t>a kutatói-oktatói életpálya vonzerejének visszaadása, a fizetések megemelése, a lassú erózió megállítása,</w:t>
            </w:r>
          </w:p>
          <w:p w14:paraId="7EC3D0B9" w14:textId="77777777" w:rsidR="00AA6752" w:rsidRPr="00A6420A" w:rsidRDefault="00AA6752" w:rsidP="00AA6752">
            <w:pPr>
              <w:widowControl w:val="0"/>
              <w:numPr>
                <w:ilvl w:val="1"/>
                <w:numId w:val="6"/>
              </w:numPr>
              <w:ind w:left="851" w:hanging="425"/>
              <w:jc w:val="both"/>
              <w:rPr>
                <w:rFonts w:eastAsia="Times New Roman" w:cs="Times New Roman"/>
                <w:sz w:val="24"/>
                <w:szCs w:val="24"/>
                <w:lang w:eastAsia="hu-HU"/>
              </w:rPr>
            </w:pPr>
            <w:r w:rsidRPr="00A6420A">
              <w:rPr>
                <w:rFonts w:eastAsia="Times New Roman" w:cs="Times New Roman"/>
                <w:sz w:val="24"/>
                <w:szCs w:val="24"/>
                <w:lang w:eastAsia="hu-HU"/>
              </w:rPr>
              <w:t>visszaadni a kutatóknak a kutatás szabadságát, egyben eszközt és forrást is biztosítva számukra.</w:t>
            </w:r>
          </w:p>
          <w:p w14:paraId="59C31B0B" w14:textId="168E41A0" w:rsidR="00886308" w:rsidRPr="001F3E0E" w:rsidRDefault="00AA6752" w:rsidP="00AA6752">
            <w:pPr>
              <w:jc w:val="both"/>
              <w:rPr>
                <w:rFonts w:cs="Times New Roman"/>
                <w:sz w:val="24"/>
                <w:szCs w:val="24"/>
              </w:rPr>
            </w:pPr>
            <w:r w:rsidRPr="00A6420A">
              <w:rPr>
                <w:rFonts w:eastAsia="Times New Roman" w:cs="Times New Roman"/>
                <w:b/>
                <w:sz w:val="24"/>
                <w:szCs w:val="24"/>
                <w:lang w:eastAsia="hu-HU"/>
              </w:rPr>
              <w:t xml:space="preserve">Az eddigieknél viszont lényegesen komolyabb lesz a kutatói teljesítmény-értékelés, ami a kormányzat szerint nem ellentétes a kutató szabadsággal. </w:t>
            </w:r>
            <w:r w:rsidRPr="00A6420A">
              <w:rPr>
                <w:rFonts w:eastAsia="Times New Roman" w:cs="Times New Roman"/>
                <w:sz w:val="24"/>
                <w:szCs w:val="24"/>
                <w:lang w:eastAsia="hu-HU"/>
              </w:rPr>
              <w:t>A politika álláspontja az, hogy</w:t>
            </w:r>
            <w:r w:rsidRPr="00A6420A">
              <w:rPr>
                <w:rFonts w:eastAsia="Times New Roman" w:cs="Times New Roman"/>
                <w:b/>
                <w:sz w:val="24"/>
                <w:szCs w:val="24"/>
                <w:lang w:eastAsia="hu-HU"/>
              </w:rPr>
              <w:t xml:space="preserve"> </w:t>
            </w:r>
            <w:r w:rsidRPr="00A6420A">
              <w:rPr>
                <w:rFonts w:eastAsia="Times New Roman" w:cs="Times New Roman"/>
                <w:sz w:val="24"/>
                <w:szCs w:val="24"/>
                <w:lang w:eastAsia="hu-HU"/>
              </w:rPr>
              <w:t xml:space="preserve">nem csak a kutatóknak kell megadni az őket megillető dolgokat, de a társadalmat érintő kérdésekre is választ kell adni, többek között a szolidáris ökológiai átmenettel kapcsolatosan. </w:t>
            </w:r>
            <w:r w:rsidRPr="00A6420A">
              <w:rPr>
                <w:rFonts w:eastAsia="Times New Roman" w:cs="Times New Roman"/>
                <w:b/>
                <w:sz w:val="24"/>
                <w:szCs w:val="24"/>
                <w:lang w:eastAsia="hu-HU"/>
              </w:rPr>
              <w:t>Újra kell építeni a kutatás és a társadalom</w:t>
            </w:r>
            <w:r w:rsidRPr="00A6420A">
              <w:rPr>
                <w:rFonts w:eastAsia="Times New Roman" w:cs="Times New Roman"/>
                <w:sz w:val="24"/>
                <w:szCs w:val="24"/>
                <w:lang w:eastAsia="hu-HU"/>
              </w:rPr>
              <w:t xml:space="preserve"> </w:t>
            </w:r>
            <w:r w:rsidRPr="00A6420A">
              <w:rPr>
                <w:rFonts w:eastAsia="Times New Roman" w:cs="Times New Roman"/>
                <w:b/>
                <w:sz w:val="24"/>
                <w:szCs w:val="24"/>
                <w:lang w:eastAsia="hu-HU"/>
              </w:rPr>
              <w:t>közötti bizalmat, ahol a kutatás nem f</w:t>
            </w:r>
            <w:r>
              <w:rPr>
                <w:rFonts w:eastAsia="Times New Roman" w:cs="Times New Roman"/>
                <w:b/>
                <w:sz w:val="24"/>
                <w:szCs w:val="24"/>
                <w:lang w:eastAsia="hu-HU"/>
              </w:rPr>
              <w:t>e</w:t>
            </w:r>
            <w:r w:rsidRPr="00A6420A">
              <w:rPr>
                <w:rFonts w:eastAsia="Times New Roman" w:cs="Times New Roman"/>
                <w:b/>
                <w:sz w:val="24"/>
                <w:szCs w:val="24"/>
                <w:lang w:eastAsia="hu-HU"/>
              </w:rPr>
              <w:t>lsőbbrendű, hanem a társadalmat szolgálja.</w:t>
            </w:r>
            <w:r>
              <w:rPr>
                <w:rFonts w:eastAsia="Times New Roman" w:cs="Times New Roman"/>
                <w:b/>
                <w:sz w:val="24"/>
                <w:szCs w:val="24"/>
                <w:lang w:eastAsia="hu-HU"/>
              </w:rPr>
              <w:t xml:space="preserve"> </w:t>
            </w:r>
            <w:r>
              <w:rPr>
                <w:rFonts w:eastAsia="Times New Roman" w:cs="Times New Roman"/>
                <w:sz w:val="24"/>
                <w:szCs w:val="24"/>
                <w:lang w:eastAsia="hu-HU"/>
              </w:rPr>
              <w:t>Ma már</w:t>
            </w:r>
            <w:r w:rsidRPr="00A6420A">
              <w:rPr>
                <w:rFonts w:eastAsia="Times New Roman" w:cs="Times New Roman"/>
                <w:sz w:val="24"/>
                <w:szCs w:val="24"/>
                <w:lang w:eastAsia="hu-HU"/>
              </w:rPr>
              <w:t xml:space="preserve"> egy ilyen rendszerbe érkeznek a magyar hallgatók és kutatók, akiknek számát, tekintettel arra, hogy az egységes európai kutatási és mobilitási térben gyakorlatilag minden az intézmények közvetlen együttműködésében zajlik, a külképviselet legföljebb becsülni tudja. A diákok esetében </w:t>
            </w:r>
            <w:r>
              <w:rPr>
                <w:rFonts w:eastAsia="Times New Roman" w:cs="Times New Roman"/>
                <w:sz w:val="24"/>
                <w:szCs w:val="24"/>
                <w:lang w:eastAsia="hu-HU"/>
              </w:rPr>
              <w:t xml:space="preserve">a (koronavírus idejét leszámítva) </w:t>
            </w:r>
            <w:r w:rsidRPr="00A6420A">
              <w:rPr>
                <w:rFonts w:eastAsia="Times New Roman" w:cs="Times New Roman"/>
                <w:sz w:val="24"/>
                <w:szCs w:val="24"/>
                <w:lang w:eastAsia="hu-HU"/>
              </w:rPr>
              <w:t>minden szemeszterben megrendezett nagykövet-diák találkozó iránti érdeklődés alapján néhány százra becsülhető az adott időszakban Franciaországban tanulók száma. A 2019. őszén megrendezett első -</w:t>
            </w:r>
            <w:r>
              <w:rPr>
                <w:rFonts w:eastAsia="Times New Roman" w:cs="Times New Roman"/>
                <w:sz w:val="24"/>
                <w:szCs w:val="24"/>
                <w:lang w:eastAsia="hu-HU"/>
              </w:rPr>
              <w:t xml:space="preserve"> de a koronavírus-járvány és egyéb okok miatt végül </w:t>
            </w:r>
            <w:r w:rsidRPr="00A6420A">
              <w:rPr>
                <w:rFonts w:eastAsia="Times New Roman" w:cs="Times New Roman"/>
                <w:sz w:val="24"/>
                <w:szCs w:val="24"/>
                <w:lang w:eastAsia="hu-HU"/>
              </w:rPr>
              <w:t>folytatás nélkül maradt - alumni-találkozó alapján pedig azt mondhatjuk, hogy a francia diákok kedvelt célpontja hazánk, de a nyelvi korlátok miatt elsősorban az angol nyelvű képzésekben vesznek részt</w:t>
            </w:r>
            <w:r>
              <w:rPr>
                <w:rFonts w:eastAsia="Times New Roman" w:cs="Times New Roman"/>
                <w:sz w:val="24"/>
                <w:szCs w:val="24"/>
                <w:lang w:eastAsia="hu-HU"/>
              </w:rPr>
              <w:t xml:space="preserve">. A Maghreb-országok esetében elsősorban az SZTE MGK Erasmus-projektjei kapcsán formálhatunk véleményt, ezek alapján azt mondhatjuk, hogy ha biztosított a finanszírozás, a kétoldalú oktató mobilitás sikeres, míg hallgatói oldalról a Magyarország felé irányuló SH- és Erasmus-mobilitás a mértékadó, Magyarországról inkább elvétve érkeznek hallgatók az észak-afrikai országokba. Algéria, Marokkó és Tunézia egyaránt </w:t>
            </w:r>
            <w:r>
              <w:rPr>
                <w:rFonts w:cs="Times New Roman"/>
                <w:sz w:val="24"/>
                <w:szCs w:val="24"/>
              </w:rPr>
              <w:t>részese a Stipendium Hungaricum-programnak, a hallgatói túljelentkezés általános jelenség, ennek ellenére Algéria nem tudja kihasználni a rendelkezésére álló keretet, ennek okairól a magyar és algériai fél eddig nem tudott kölcsönösen elfogadható magyarázatot adni.</w:t>
            </w:r>
          </w:p>
        </w:tc>
      </w:tr>
      <w:tr w:rsidR="00886308" w:rsidRPr="001F3E0E" w14:paraId="3A62C132" w14:textId="77777777" w:rsidTr="00410460">
        <w:trPr>
          <w:trHeight w:val="260"/>
        </w:trPr>
        <w:tc>
          <w:tcPr>
            <w:tcW w:w="14737" w:type="dxa"/>
            <w:gridSpan w:val="5"/>
            <w:tcBorders>
              <w:top w:val="single" w:sz="4" w:space="0" w:color="auto"/>
              <w:left w:val="single" w:sz="4" w:space="0" w:color="auto"/>
              <w:bottom w:val="single" w:sz="4" w:space="0" w:color="auto"/>
              <w:right w:val="single" w:sz="4" w:space="0" w:color="auto"/>
            </w:tcBorders>
          </w:tcPr>
          <w:p w14:paraId="402DDC21" w14:textId="77777777" w:rsidR="00886308" w:rsidRPr="001F3E0E" w:rsidRDefault="00886308" w:rsidP="00D25CAD">
            <w:pPr>
              <w:rPr>
                <w:rFonts w:cs="Times New Roman"/>
                <w:sz w:val="24"/>
                <w:szCs w:val="24"/>
              </w:rPr>
            </w:pPr>
          </w:p>
        </w:tc>
      </w:tr>
      <w:tr w:rsidR="00886308" w:rsidRPr="001F3E0E" w14:paraId="07D52BDA" w14:textId="77777777" w:rsidTr="004A7EFA">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9A6185" w14:textId="77777777" w:rsidR="00886308" w:rsidRPr="001F3E0E" w:rsidRDefault="00886308" w:rsidP="00886308">
            <w:pPr>
              <w:pStyle w:val="Listaszerbekezds"/>
              <w:numPr>
                <w:ilvl w:val="0"/>
                <w:numId w:val="1"/>
              </w:numPr>
              <w:rPr>
                <w:rFonts w:cs="Times New Roman"/>
                <w:b/>
                <w:bCs/>
                <w:sz w:val="24"/>
                <w:szCs w:val="24"/>
              </w:rPr>
            </w:pPr>
            <w:r w:rsidRPr="001F3E0E">
              <w:rPr>
                <w:rFonts w:cs="Times New Roman"/>
                <w:b/>
                <w:bCs/>
                <w:sz w:val="24"/>
                <w:szCs w:val="24"/>
              </w:rPr>
              <w:t xml:space="preserve">TéT szakdiplomata által szervezett programok a beszámoltatási </w:t>
            </w:r>
            <w:r w:rsidRPr="001F3E0E">
              <w:rPr>
                <w:rFonts w:cs="Times New Roman"/>
                <w:b/>
                <w:bCs/>
                <w:sz w:val="24"/>
                <w:szCs w:val="24"/>
              </w:rPr>
              <w:lastRenderedPageBreak/>
              <w:t>időszakban: a tudománydiplomáciai prioritások figyelembe vétele, programok jellege, célközönség, utókövetés, feladatok</w:t>
            </w:r>
          </w:p>
        </w:tc>
        <w:tc>
          <w:tcPr>
            <w:tcW w:w="11340" w:type="dxa"/>
            <w:gridSpan w:val="4"/>
            <w:tcBorders>
              <w:top w:val="single" w:sz="4" w:space="0" w:color="auto"/>
              <w:left w:val="single" w:sz="4" w:space="0" w:color="auto"/>
              <w:bottom w:val="single" w:sz="4" w:space="0" w:color="auto"/>
              <w:right w:val="single" w:sz="4" w:space="0" w:color="auto"/>
            </w:tcBorders>
            <w:vAlign w:val="center"/>
            <w:hideMark/>
          </w:tcPr>
          <w:p w14:paraId="6A3B811D" w14:textId="27F038A1" w:rsidR="004A7EFA" w:rsidRPr="001F3E0E" w:rsidRDefault="00AA6752" w:rsidP="00AA6752">
            <w:pPr>
              <w:jc w:val="both"/>
              <w:rPr>
                <w:rFonts w:cs="Times New Roman"/>
                <w:sz w:val="24"/>
                <w:szCs w:val="24"/>
              </w:rPr>
            </w:pPr>
            <w:r>
              <w:rPr>
                <w:rFonts w:cs="Times New Roman"/>
                <w:sz w:val="24"/>
                <w:szCs w:val="24"/>
              </w:rPr>
              <w:lastRenderedPageBreak/>
              <w:t>A beszámolási időszakban t</w:t>
            </w:r>
            <w:r w:rsidRPr="00710FDC">
              <w:rPr>
                <w:rFonts w:cs="Times New Roman"/>
                <w:sz w:val="24"/>
                <w:szCs w:val="24"/>
              </w:rPr>
              <w:t>ovább folytatódott a francia tengerentúli területek felsőoktatási</w:t>
            </w:r>
            <w:r w:rsidR="0088397C">
              <w:rPr>
                <w:rFonts w:cs="Times New Roman"/>
                <w:sz w:val="24"/>
                <w:szCs w:val="24"/>
              </w:rPr>
              <w:t>, szakképzési</w:t>
            </w:r>
            <w:r w:rsidRPr="00710FDC">
              <w:rPr>
                <w:rFonts w:cs="Times New Roman"/>
                <w:sz w:val="24"/>
                <w:szCs w:val="24"/>
              </w:rPr>
              <w:t xml:space="preserve"> és kutatási intézményeivel való kapcsolatépítés </w:t>
            </w:r>
            <w:r w:rsidR="0088397C">
              <w:rPr>
                <w:rFonts w:cs="Times New Roman"/>
                <w:sz w:val="24"/>
                <w:szCs w:val="24"/>
              </w:rPr>
              <w:t>(Guadeloupe, Martinique, Francia-Guyana, Francia-Polinézia, Új-Kaledónia)</w:t>
            </w:r>
            <w:r w:rsidRPr="00710FDC">
              <w:rPr>
                <w:rFonts w:cs="Times New Roman"/>
                <w:sz w:val="24"/>
                <w:szCs w:val="24"/>
              </w:rPr>
              <w:t>, amiben már most több magyar egyetem</w:t>
            </w:r>
            <w:r w:rsidR="0088397C">
              <w:rPr>
                <w:rFonts w:cs="Times New Roman"/>
                <w:sz w:val="24"/>
                <w:szCs w:val="24"/>
              </w:rPr>
              <w:t xml:space="preserve"> és szakgimnázium</w:t>
            </w:r>
            <w:r w:rsidRPr="00710FDC">
              <w:rPr>
                <w:rFonts w:cs="Times New Roman"/>
                <w:sz w:val="24"/>
                <w:szCs w:val="24"/>
              </w:rPr>
              <w:t xml:space="preserve"> érintett, de egyértelműen az SZTE a legaktívabb és a legsikeresebb. A tengerentúli francia területeken működő kutatási és felsőoktatási intézményekkel való következetes </w:t>
            </w:r>
            <w:r w:rsidRPr="00710FDC">
              <w:rPr>
                <w:rFonts w:cs="Times New Roman"/>
                <w:sz w:val="24"/>
                <w:szCs w:val="24"/>
              </w:rPr>
              <w:lastRenderedPageBreak/>
              <w:t xml:space="preserve">kapcsolatépítésnek köszönhetően reményeink szerint olyan, korunk kihívásaival szorosan összefüggő kérdésekben indulhatnak új projektek és közös képzések, mint a megújuló energiák, klímaváltozás elleni küzdelem, újonnan megjelenő betegségek gyógyítása, agrártudományok, egyes bölcsészettudományi területek. </w:t>
            </w:r>
            <w:r>
              <w:rPr>
                <w:rFonts w:cs="Times New Roman"/>
                <w:sz w:val="24"/>
                <w:szCs w:val="24"/>
              </w:rPr>
              <w:t>Miután</w:t>
            </w:r>
            <w:r w:rsidRPr="00710FDC">
              <w:rPr>
                <w:rFonts w:cs="Times New Roman"/>
                <w:sz w:val="24"/>
                <w:szCs w:val="24"/>
              </w:rPr>
              <w:t xml:space="preserve"> 2023 áprilisában az SZTE és az Institut Pasteur </w:t>
            </w:r>
            <w:r>
              <w:rPr>
                <w:rFonts w:cs="Times New Roman"/>
                <w:sz w:val="24"/>
                <w:szCs w:val="24"/>
              </w:rPr>
              <w:t>Szegeden együttműködési megállapodást írt alá, 2024 novemberében</w:t>
            </w:r>
            <w:r w:rsidRPr="00710FDC">
              <w:rPr>
                <w:rFonts w:cs="Times New Roman"/>
                <w:sz w:val="24"/>
                <w:szCs w:val="24"/>
              </w:rPr>
              <w:t xml:space="preserve"> a Pasteur Intézetek Nemzetközi Hálózatá</w:t>
            </w:r>
            <w:r>
              <w:rPr>
                <w:rFonts w:cs="Times New Roman"/>
                <w:sz w:val="24"/>
                <w:szCs w:val="24"/>
              </w:rPr>
              <w:t xml:space="preserve">nak éves – Tuniszban tartott – találkozóján az SZTE vezetői újabb Pasteur-intézetekkel vették föl a kapcsolatot, valamint érdemi kampány indult, hogy a hálózatban dolgozó </w:t>
            </w:r>
            <w:r w:rsidRPr="00710FDC">
              <w:rPr>
                <w:rFonts w:cs="Times New Roman"/>
                <w:sz w:val="24"/>
                <w:szCs w:val="24"/>
              </w:rPr>
              <w:t xml:space="preserve">tehetséges fiatalok </w:t>
            </w:r>
            <w:r>
              <w:rPr>
                <w:rFonts w:cs="Times New Roman"/>
                <w:sz w:val="24"/>
                <w:szCs w:val="24"/>
              </w:rPr>
              <w:t xml:space="preserve">minél nagyobb számban jelentkezzenek </w:t>
            </w:r>
            <w:r w:rsidRPr="00710FDC">
              <w:rPr>
                <w:rFonts w:cs="Times New Roman"/>
                <w:sz w:val="24"/>
                <w:szCs w:val="24"/>
              </w:rPr>
              <w:t xml:space="preserve">magyarországi PhD-tanulmányokra SH-ösztöndíjjal. A magyar tudományos eredmények népszerűsítésének kiemelt eseménye volt </w:t>
            </w:r>
            <w:r>
              <w:rPr>
                <w:rFonts w:cs="Times New Roman"/>
                <w:sz w:val="24"/>
                <w:szCs w:val="24"/>
              </w:rPr>
              <w:t xml:space="preserve">egy </w:t>
            </w:r>
            <w:hyperlink r:id="rId17" w:history="1">
              <w:r w:rsidRPr="008F2A8A">
                <w:rPr>
                  <w:rStyle w:val="Hiperhivatkozs"/>
                  <w:rFonts w:cs="Times New Roman"/>
                  <w:sz w:val="24"/>
                  <w:szCs w:val="24"/>
                </w:rPr>
                <w:t>egyedi számozott Gömböc átadása az Új-Kaledóniai Egyetemen</w:t>
              </w:r>
            </w:hyperlink>
            <w:r>
              <w:rPr>
                <w:rFonts w:cs="Times New Roman"/>
                <w:sz w:val="24"/>
                <w:szCs w:val="24"/>
              </w:rPr>
              <w:t xml:space="preserve">, valamint egy </w:t>
            </w:r>
            <w:hyperlink r:id="rId18" w:history="1">
              <w:r w:rsidRPr="00F61B09">
                <w:rPr>
                  <w:rStyle w:val="Hiperhivatkozs"/>
                  <w:rFonts w:cs="Times New Roman"/>
                  <w:sz w:val="24"/>
                  <w:szCs w:val="24"/>
                </w:rPr>
                <w:t>oktatási célokat szolgálóé a Francia-Polinéziai Egyetemen</w:t>
              </w:r>
            </w:hyperlink>
            <w:r>
              <w:rPr>
                <w:rFonts w:cs="Times New Roman"/>
                <w:sz w:val="24"/>
                <w:szCs w:val="24"/>
              </w:rPr>
              <w:t xml:space="preserve">. A Tihany-St. Florent-le-Vieil testvértelepülési kapcsolat keretében került sor 2023 novemberében egy népes, zömmel borászokból álló magyar delegáció franciaországi látogatására, programjuk egyik kiemelkedő eseménye volt magyar </w:t>
            </w:r>
            <w:hyperlink r:id="rId19" w:history="1">
              <w:r w:rsidRPr="005B5A13">
                <w:rPr>
                  <w:rStyle w:val="Hiperhivatkozs"/>
                  <w:rFonts w:cs="Times New Roman"/>
                  <w:sz w:val="24"/>
                  <w:szCs w:val="24"/>
                </w:rPr>
                <w:t>szőlőoltványok elültetése</w:t>
              </w:r>
            </w:hyperlink>
            <w:r>
              <w:rPr>
                <w:rFonts w:cs="Times New Roman"/>
                <w:sz w:val="24"/>
                <w:szCs w:val="24"/>
              </w:rPr>
              <w:t xml:space="preserve"> a francia partnerek által létesített Loire-völgyi parcellában. 2023. szeptemberében az SH-program tízéves fönnállásának apropója okán kollokviumot szerveztünk a programban részes, de míg Budapesten nem, Párizsban azonban külképviseletet működtető országok diplomatái számára</w:t>
            </w:r>
            <w:r w:rsidR="0083500E">
              <w:rPr>
                <w:rFonts w:cs="Times New Roman"/>
                <w:sz w:val="24"/>
                <w:szCs w:val="24"/>
              </w:rPr>
              <w:t xml:space="preserve"> annak érdekében, hogy növeljük körükben a program ismertségét, valamint előmozdítsuk a velük kötendő kétoldalú SH-megállapodások esetében még meglévő, függő kérdések lezárását. Az SZTE delegációja 2023 októberében Francia-Guyanába látogatott, ahol a Francia-Guyanai Egyetemen, a cayenne-i Pasteur Intézetben, valamint a területi önkormányzatnál zajlottak a legfontosabb egyeztetések.</w:t>
            </w:r>
            <w:r w:rsidR="00D86133">
              <w:rPr>
                <w:rFonts w:cs="Times New Roman"/>
                <w:sz w:val="24"/>
                <w:szCs w:val="24"/>
              </w:rPr>
              <w:t xml:space="preserve"> A KTDF-támogatású projekteknek köszönhetően újabb, komoly előrelépés történt a magyar-francia erdészeti kutatási együttműködésben, a 2023 decemberi magyar kiutazást követően idén áprilisban ONF-delegáció látogatott Magyarországra, júniusban pedig 18 (!) magyar erdész és erdészeti kutatással foglalkozó szakember vett részt közel egyhetes szakmai programon Északkelet-Franciaországban. </w:t>
            </w:r>
            <w:r w:rsidR="0088397C">
              <w:rPr>
                <w:rFonts w:cs="Times New Roman"/>
                <w:sz w:val="24"/>
                <w:szCs w:val="24"/>
              </w:rPr>
              <w:t xml:space="preserve">Észak-Afrika esetében a 2023 szeptemberi, algériai erdész projekt érdemel említést, míg 2024 februárjában a TéT-attasé Marokkóban, az </w:t>
            </w:r>
            <w:hyperlink r:id="rId20" w:history="1">
              <w:r w:rsidR="0088397C" w:rsidRPr="0088397C">
                <w:rPr>
                  <w:rStyle w:val="Hiperhivatkozs"/>
                  <w:rFonts w:cs="Times New Roman"/>
                  <w:sz w:val="24"/>
                  <w:szCs w:val="24"/>
                </w:rPr>
                <w:t>AAHC2024</w:t>
              </w:r>
            </w:hyperlink>
            <w:r w:rsidR="0088397C">
              <w:rPr>
                <w:rFonts w:cs="Times New Roman"/>
                <w:sz w:val="24"/>
                <w:szCs w:val="24"/>
              </w:rPr>
              <w:t>-en képviselte Magyarországot, májusban pedig több egyetemi delegáció is (SZTE, Miskolci Egyetem, Pannon Egyetem) szakmai utat bonyolított az országban. Az utókövetés minden esetben komoly felelősség, de szerencsére egyre több esetben „önjáróvá” váltak ezek a kapcsolatok és a bővülési fázisba léptek – erre az egyik jó példa a martinique-i Le Robert mezőgazdasági szakgimnázium, ami az attaséi kezdeményezést követően ma már legkevesebb négy magyar intézménnyel ápol aktív kapcsolatot.</w:t>
            </w:r>
            <w:r w:rsidR="00EB100F">
              <w:rPr>
                <w:rFonts w:cs="Times New Roman"/>
                <w:sz w:val="24"/>
                <w:szCs w:val="24"/>
              </w:rPr>
              <w:t xml:space="preserve"> A lyoni kga-val közösen sikerült magyar résztvevőket megjelentetni a Lyonban februárban rendezett EUROBOIS faipari szakkiállításon és -vásáron.</w:t>
            </w:r>
          </w:p>
        </w:tc>
      </w:tr>
      <w:tr w:rsidR="00886308" w:rsidRPr="001F3E0E" w14:paraId="519CADB3" w14:textId="77777777" w:rsidTr="00410460">
        <w:trPr>
          <w:trHeight w:val="238"/>
        </w:trPr>
        <w:tc>
          <w:tcPr>
            <w:tcW w:w="1473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7FFF668" w14:textId="77777777" w:rsidR="00886308" w:rsidRPr="001F3E0E" w:rsidRDefault="00886308" w:rsidP="00D25CAD">
            <w:pPr>
              <w:pStyle w:val="Listaszerbekezds"/>
              <w:rPr>
                <w:rFonts w:cs="Times New Roman"/>
                <w:sz w:val="24"/>
                <w:szCs w:val="24"/>
              </w:rPr>
            </w:pPr>
          </w:p>
        </w:tc>
      </w:tr>
      <w:tr w:rsidR="00886308" w:rsidRPr="001F3E0E" w14:paraId="34B91DD4" w14:textId="77777777" w:rsidTr="004A7EFA">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C09588" w14:textId="77777777" w:rsidR="00886308" w:rsidRPr="004A7EFA" w:rsidRDefault="00886308" w:rsidP="00D25CAD">
            <w:pPr>
              <w:pStyle w:val="Listaszerbekezds"/>
              <w:numPr>
                <w:ilvl w:val="0"/>
                <w:numId w:val="1"/>
              </w:numPr>
              <w:rPr>
                <w:rFonts w:cs="Times New Roman"/>
                <w:sz w:val="24"/>
                <w:szCs w:val="24"/>
              </w:rPr>
            </w:pPr>
            <w:r w:rsidRPr="001F3E0E">
              <w:rPr>
                <w:rFonts w:cs="Times New Roman"/>
                <w:b/>
                <w:bCs/>
                <w:sz w:val="24"/>
                <w:szCs w:val="24"/>
              </w:rPr>
              <w:t>Legfontosabb bilaterális TéT, KFI események, eredmények a beszámolási időszakban</w:t>
            </w:r>
          </w:p>
        </w:tc>
        <w:tc>
          <w:tcPr>
            <w:tcW w:w="11340" w:type="dxa"/>
            <w:gridSpan w:val="4"/>
            <w:tcBorders>
              <w:top w:val="single" w:sz="4" w:space="0" w:color="auto"/>
              <w:left w:val="single" w:sz="4" w:space="0" w:color="auto"/>
              <w:bottom w:val="single" w:sz="4" w:space="0" w:color="auto"/>
              <w:right w:val="single" w:sz="4" w:space="0" w:color="auto"/>
            </w:tcBorders>
            <w:vAlign w:val="center"/>
          </w:tcPr>
          <w:p w14:paraId="422F8975" w14:textId="63FBFCC4" w:rsidR="00886308" w:rsidRPr="001F3E0E" w:rsidRDefault="0088397C" w:rsidP="00EB100F">
            <w:pPr>
              <w:jc w:val="both"/>
              <w:rPr>
                <w:rFonts w:cs="Times New Roman"/>
                <w:sz w:val="24"/>
                <w:szCs w:val="24"/>
              </w:rPr>
            </w:pPr>
            <w:r>
              <w:rPr>
                <w:rFonts w:cs="Times New Roman"/>
                <w:sz w:val="24"/>
                <w:szCs w:val="24"/>
              </w:rPr>
              <w:t>Az egyik legjelentősebb ezek sorában a tuniszi Pasteur Network Annual Meeting-en való magyar részvétel, valamint a kga közreműködésével és KTDF-támogatással megvalósult start-up megjelenés volt a párizsi VivaTech szakvásáron. Komoly érdeklődés övezte a TéT-attaséi közreműködéssel megvalósult erdészeti témájú előadásokat a Soproni Egyetemen 2024. áprilisában</w:t>
            </w:r>
            <w:r w:rsidR="006638DF">
              <w:rPr>
                <w:rFonts w:cs="Times New Roman"/>
                <w:sz w:val="24"/>
                <w:szCs w:val="24"/>
              </w:rPr>
              <w:t xml:space="preserve">, az SZTE MGK észak-afrikai Erasmus KA171-es mobilitási programja keretében pedig szintén áprilisban közel húsz oktató érkezett a három partnerországból a kar által szervezett Erasmus-hétre és a Wellmann-konferenciára. A TéT-attasé májusi, algíri átutazásának köszönhetően végre pont került a </w:t>
            </w:r>
            <w:r w:rsidR="006638DF">
              <w:rPr>
                <w:rFonts w:cs="Times New Roman"/>
                <w:sz w:val="24"/>
                <w:szCs w:val="24"/>
              </w:rPr>
              <w:lastRenderedPageBreak/>
              <w:t>Soproni Egyetem és a nemzeti erdészeti kutatóintézet (INRF)</w:t>
            </w:r>
            <w:r w:rsidR="00EB100F">
              <w:rPr>
                <w:rFonts w:cs="Times New Roman"/>
                <w:sz w:val="24"/>
                <w:szCs w:val="24"/>
              </w:rPr>
              <w:t xml:space="preserve"> közötti MoU-ra, valamint keretmegállapodást köt az SZTE és az algíri ENSA.</w:t>
            </w:r>
          </w:p>
        </w:tc>
      </w:tr>
      <w:tr w:rsidR="00886308" w:rsidRPr="001F3E0E" w14:paraId="4CB1AD11" w14:textId="77777777" w:rsidTr="00410460">
        <w:trPr>
          <w:trHeight w:val="252"/>
        </w:trPr>
        <w:tc>
          <w:tcPr>
            <w:tcW w:w="1473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CBA2888" w14:textId="77777777" w:rsidR="00886308" w:rsidRPr="001F3E0E" w:rsidRDefault="00886308" w:rsidP="00D25CAD">
            <w:pPr>
              <w:pStyle w:val="Listaszerbekezds"/>
              <w:rPr>
                <w:rFonts w:cs="Times New Roman"/>
                <w:sz w:val="24"/>
                <w:szCs w:val="24"/>
              </w:rPr>
            </w:pPr>
          </w:p>
        </w:tc>
      </w:tr>
      <w:tr w:rsidR="00843191" w:rsidRPr="001F3E0E" w14:paraId="66E49E05" w14:textId="77777777" w:rsidTr="004A7EFA">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493FD7" w14:textId="77777777" w:rsidR="00843191" w:rsidRPr="004A7EFA" w:rsidRDefault="00843191" w:rsidP="0057221B">
            <w:pPr>
              <w:pStyle w:val="Listaszerbekezds"/>
              <w:numPr>
                <w:ilvl w:val="0"/>
                <w:numId w:val="1"/>
              </w:numPr>
              <w:rPr>
                <w:rFonts w:cs="Times New Roman"/>
                <w:sz w:val="24"/>
                <w:szCs w:val="24"/>
              </w:rPr>
            </w:pPr>
            <w:r>
              <w:rPr>
                <w:rFonts w:cs="Times New Roman"/>
                <w:b/>
                <w:bCs/>
                <w:sz w:val="24"/>
                <w:szCs w:val="24"/>
              </w:rPr>
              <w:t>Korábbi tudománydiplomáciai projektek utókövetése</w:t>
            </w:r>
          </w:p>
        </w:tc>
        <w:tc>
          <w:tcPr>
            <w:tcW w:w="11340" w:type="dxa"/>
            <w:gridSpan w:val="4"/>
            <w:tcBorders>
              <w:top w:val="single" w:sz="4" w:space="0" w:color="auto"/>
              <w:left w:val="single" w:sz="4" w:space="0" w:color="auto"/>
              <w:bottom w:val="single" w:sz="4" w:space="0" w:color="auto"/>
              <w:right w:val="single" w:sz="4" w:space="0" w:color="auto"/>
            </w:tcBorders>
            <w:vAlign w:val="center"/>
          </w:tcPr>
          <w:p w14:paraId="086A08EA" w14:textId="7F867932" w:rsidR="00843191" w:rsidRPr="001F3E0E" w:rsidRDefault="00EB100F" w:rsidP="00EB100F">
            <w:pPr>
              <w:rPr>
                <w:rFonts w:cs="Times New Roman"/>
                <w:sz w:val="24"/>
                <w:szCs w:val="24"/>
              </w:rPr>
            </w:pPr>
            <w:r>
              <w:rPr>
                <w:rFonts w:cs="Times New Roman"/>
                <w:sz w:val="24"/>
                <w:szCs w:val="24"/>
              </w:rPr>
              <w:t xml:space="preserve">Folyamatosan dolgozunk az erdészeti együttműködésen magyar-francia és magyar-algériai relációban, valamint a párizsi Pasteur Intézettel és a Pasteur International Network intézményeivel való mind szorosabb kapcsolatokon. </w:t>
            </w:r>
          </w:p>
        </w:tc>
      </w:tr>
      <w:tr w:rsidR="00843191" w:rsidRPr="001F3E0E" w14:paraId="6C25B155" w14:textId="77777777" w:rsidTr="00410460">
        <w:trPr>
          <w:trHeight w:val="252"/>
        </w:trPr>
        <w:tc>
          <w:tcPr>
            <w:tcW w:w="1473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B8F1BAD" w14:textId="77777777" w:rsidR="00843191" w:rsidRPr="001F3E0E" w:rsidRDefault="00843191" w:rsidP="0057221B">
            <w:pPr>
              <w:pStyle w:val="Listaszerbekezds"/>
              <w:rPr>
                <w:rFonts w:cs="Times New Roman"/>
                <w:sz w:val="24"/>
                <w:szCs w:val="24"/>
              </w:rPr>
            </w:pPr>
          </w:p>
        </w:tc>
      </w:tr>
      <w:tr w:rsidR="00843191" w:rsidRPr="001F3E0E" w14:paraId="7723249C" w14:textId="77777777" w:rsidTr="004A7EFA">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102E2" w14:textId="77777777" w:rsidR="00843191" w:rsidRPr="00843191" w:rsidRDefault="0002716F" w:rsidP="0057221B">
            <w:pPr>
              <w:pStyle w:val="Listaszerbekezds"/>
              <w:numPr>
                <w:ilvl w:val="0"/>
                <w:numId w:val="1"/>
              </w:numPr>
              <w:rPr>
                <w:rFonts w:cs="Times New Roman"/>
                <w:sz w:val="24"/>
                <w:szCs w:val="24"/>
              </w:rPr>
            </w:pPr>
            <w:r>
              <w:rPr>
                <w:rFonts w:cs="Times New Roman"/>
                <w:b/>
                <w:bCs/>
                <w:sz w:val="24"/>
                <w:szCs w:val="24"/>
              </w:rPr>
              <w:t xml:space="preserve">Éves </w:t>
            </w:r>
            <w:r w:rsidR="00843191">
              <w:rPr>
                <w:rFonts w:cs="Times New Roman"/>
                <w:b/>
                <w:bCs/>
                <w:sz w:val="24"/>
                <w:szCs w:val="24"/>
              </w:rPr>
              <w:t>munka számokban:</w:t>
            </w:r>
          </w:p>
          <w:p w14:paraId="10A8A5CB" w14:textId="77777777" w:rsidR="0002716F" w:rsidRPr="009B553A" w:rsidRDefault="0002716F" w:rsidP="009B553A">
            <w:pPr>
              <w:pStyle w:val="Listaszerbekezds"/>
              <w:numPr>
                <w:ilvl w:val="0"/>
                <w:numId w:val="4"/>
              </w:numPr>
              <w:ind w:left="447" w:hanging="283"/>
              <w:rPr>
                <w:rFonts w:cs="Times New Roman"/>
                <w:b/>
                <w:bCs/>
                <w:sz w:val="24"/>
                <w:szCs w:val="24"/>
              </w:rPr>
            </w:pPr>
            <w:r w:rsidRPr="009B553A">
              <w:rPr>
                <w:rFonts w:cs="Times New Roman"/>
                <w:b/>
                <w:bCs/>
                <w:sz w:val="24"/>
                <w:szCs w:val="24"/>
              </w:rPr>
              <w:t>Jelentések (db)</w:t>
            </w:r>
          </w:p>
          <w:p w14:paraId="30ED22CE" w14:textId="77777777" w:rsidR="0002716F" w:rsidRPr="009B553A" w:rsidRDefault="0002716F" w:rsidP="009B553A">
            <w:pPr>
              <w:pStyle w:val="Listaszerbekezds"/>
              <w:numPr>
                <w:ilvl w:val="0"/>
                <w:numId w:val="4"/>
              </w:numPr>
              <w:ind w:left="447" w:hanging="283"/>
              <w:rPr>
                <w:rFonts w:cs="Times New Roman"/>
                <w:b/>
                <w:bCs/>
                <w:sz w:val="24"/>
                <w:szCs w:val="24"/>
              </w:rPr>
            </w:pPr>
            <w:r w:rsidRPr="009B553A">
              <w:rPr>
                <w:rFonts w:cs="Times New Roman"/>
                <w:b/>
                <w:bCs/>
                <w:sz w:val="24"/>
                <w:szCs w:val="24"/>
              </w:rPr>
              <w:t>Delegációk (db)</w:t>
            </w:r>
          </w:p>
          <w:p w14:paraId="145D0C4F" w14:textId="77777777" w:rsidR="0002716F" w:rsidRPr="009B553A" w:rsidRDefault="0002716F" w:rsidP="009B553A">
            <w:pPr>
              <w:pStyle w:val="Listaszerbekezds"/>
              <w:numPr>
                <w:ilvl w:val="0"/>
                <w:numId w:val="4"/>
              </w:numPr>
              <w:ind w:left="447" w:hanging="283"/>
              <w:rPr>
                <w:rFonts w:cs="Times New Roman"/>
                <w:b/>
                <w:bCs/>
                <w:sz w:val="24"/>
                <w:szCs w:val="24"/>
              </w:rPr>
            </w:pPr>
            <w:r w:rsidRPr="009B553A">
              <w:rPr>
                <w:rFonts w:cs="Times New Roman"/>
                <w:b/>
                <w:bCs/>
                <w:sz w:val="24"/>
                <w:szCs w:val="24"/>
              </w:rPr>
              <w:t>Saját szerv</w:t>
            </w:r>
            <w:r w:rsidR="009B553A" w:rsidRPr="009B553A">
              <w:rPr>
                <w:rFonts w:cs="Times New Roman"/>
                <w:b/>
                <w:bCs/>
                <w:sz w:val="24"/>
                <w:szCs w:val="24"/>
              </w:rPr>
              <w:t>ezésű</w:t>
            </w:r>
            <w:r w:rsidRPr="009B553A">
              <w:rPr>
                <w:rFonts w:cs="Times New Roman"/>
                <w:b/>
                <w:bCs/>
                <w:sz w:val="24"/>
                <w:szCs w:val="24"/>
              </w:rPr>
              <w:t xml:space="preserve"> programok (db)</w:t>
            </w:r>
          </w:p>
          <w:p w14:paraId="50ADF383" w14:textId="77777777" w:rsidR="0002716F" w:rsidRPr="009B553A" w:rsidRDefault="0002716F" w:rsidP="009B553A">
            <w:pPr>
              <w:pStyle w:val="Listaszerbekezds"/>
              <w:numPr>
                <w:ilvl w:val="0"/>
                <w:numId w:val="4"/>
              </w:numPr>
              <w:ind w:left="447" w:hanging="283"/>
              <w:rPr>
                <w:rFonts w:cs="Times New Roman"/>
                <w:b/>
                <w:bCs/>
                <w:sz w:val="24"/>
                <w:szCs w:val="24"/>
              </w:rPr>
            </w:pPr>
            <w:r w:rsidRPr="009B553A">
              <w:rPr>
                <w:rFonts w:cs="Times New Roman"/>
                <w:b/>
                <w:bCs/>
                <w:sz w:val="24"/>
                <w:szCs w:val="24"/>
              </w:rPr>
              <w:t>Hány magyar céget, KFI szereplőt stb. sikerült partnerhez, együttműködési megállapodáshoz juttatni (db)</w:t>
            </w:r>
          </w:p>
          <w:p w14:paraId="3C63C700" w14:textId="77777777" w:rsidR="00843191" w:rsidRPr="009B553A" w:rsidRDefault="0002716F" w:rsidP="009B553A">
            <w:pPr>
              <w:pStyle w:val="Listaszerbekezds"/>
              <w:numPr>
                <w:ilvl w:val="0"/>
                <w:numId w:val="4"/>
              </w:numPr>
              <w:ind w:left="447" w:hanging="283"/>
              <w:rPr>
                <w:rFonts w:cs="Times New Roman"/>
                <w:b/>
                <w:bCs/>
                <w:sz w:val="24"/>
                <w:szCs w:val="24"/>
              </w:rPr>
            </w:pPr>
            <w:r w:rsidRPr="009B553A">
              <w:rPr>
                <w:rFonts w:cs="Times New Roman"/>
                <w:b/>
                <w:bCs/>
                <w:sz w:val="24"/>
                <w:szCs w:val="24"/>
              </w:rPr>
              <w:t>egyéb számszerűsíthető eredmény</w:t>
            </w:r>
          </w:p>
        </w:tc>
        <w:tc>
          <w:tcPr>
            <w:tcW w:w="11340" w:type="dxa"/>
            <w:gridSpan w:val="4"/>
            <w:tcBorders>
              <w:top w:val="single" w:sz="4" w:space="0" w:color="auto"/>
              <w:left w:val="single" w:sz="4" w:space="0" w:color="auto"/>
              <w:bottom w:val="single" w:sz="4" w:space="0" w:color="auto"/>
              <w:right w:val="single" w:sz="4" w:space="0" w:color="auto"/>
            </w:tcBorders>
            <w:vAlign w:val="center"/>
          </w:tcPr>
          <w:p w14:paraId="6A73CA42" w14:textId="0AA4EC28" w:rsidR="00843191" w:rsidRPr="001F3E0E" w:rsidRDefault="00EB100F" w:rsidP="00DD19ED">
            <w:pPr>
              <w:jc w:val="both"/>
              <w:rPr>
                <w:rFonts w:cs="Times New Roman"/>
                <w:sz w:val="24"/>
                <w:szCs w:val="24"/>
              </w:rPr>
            </w:pPr>
            <w:r>
              <w:rPr>
                <w:rFonts w:cs="Times New Roman"/>
                <w:sz w:val="24"/>
                <w:szCs w:val="24"/>
              </w:rPr>
              <w:t xml:space="preserve">A beszámolási időszakban 212 jelentés készült (akár elsőszerzős, akár társszerzős), hét szakmai delegáció látogatott a fogadó országokba és </w:t>
            </w:r>
            <w:r w:rsidR="000030B7">
              <w:rPr>
                <w:rFonts w:cs="Times New Roman"/>
                <w:sz w:val="24"/>
                <w:szCs w:val="24"/>
              </w:rPr>
              <w:t>három</w:t>
            </w:r>
            <w:r>
              <w:rPr>
                <w:rFonts w:cs="Times New Roman"/>
                <w:sz w:val="24"/>
                <w:szCs w:val="24"/>
              </w:rPr>
              <w:t xml:space="preserve"> saját szervezésű rendezvényre került sor (nem számítva a Páriz</w:t>
            </w:r>
            <w:r w:rsidR="000030B7">
              <w:rPr>
                <w:rFonts w:cs="Times New Roman"/>
                <w:sz w:val="24"/>
                <w:szCs w:val="24"/>
              </w:rPr>
              <w:t>s</w:t>
            </w:r>
            <w:r>
              <w:rPr>
                <w:rFonts w:cs="Times New Roman"/>
                <w:sz w:val="24"/>
                <w:szCs w:val="24"/>
              </w:rPr>
              <w:t xml:space="preserve">ban akkreditált TéT-attasék baráti körének szervezett programokat). </w:t>
            </w:r>
            <w:r w:rsidR="000030B7">
              <w:rPr>
                <w:rFonts w:cs="Times New Roman"/>
                <w:sz w:val="24"/>
                <w:szCs w:val="24"/>
              </w:rPr>
              <w:t xml:space="preserve">Azon különböző szakmai programok száma, amin a párizsi TéT-attasé személyesen vagy on-line formában részt vett, </w:t>
            </w:r>
            <w:r w:rsidR="002658A7">
              <w:rPr>
                <w:rFonts w:cs="Times New Roman"/>
                <w:sz w:val="24"/>
                <w:szCs w:val="24"/>
              </w:rPr>
              <w:t xml:space="preserve">megközelítette a 150-et. </w:t>
            </w:r>
            <w:r w:rsidR="000030B7">
              <w:rPr>
                <w:rFonts w:cs="Times New Roman"/>
                <w:sz w:val="24"/>
                <w:szCs w:val="24"/>
              </w:rPr>
              <w:t>Kifejezetten TéT-attaséi közvetítéssel mintegy egytucat új – zömmel oktatási és kutatási – partnerség jött létre és két új MoU aláírása történhet meg 2024 június végéig. Egyéb számszerűsíthető eredményként 2023 júniusa óta 20, a megszerzett ismeretek átadását segítő, elsősorban a franciaországi és észak-afrikai tapasztalatokat bemutató publikáció jelent meg hazai szakmai folyóiratokban (és további kettő van megjelenés alatt)</w:t>
            </w:r>
            <w:r w:rsidR="004E1E20">
              <w:rPr>
                <w:rFonts w:cs="Times New Roman"/>
                <w:sz w:val="24"/>
                <w:szCs w:val="24"/>
              </w:rPr>
              <w:t>, valamint két olyan poszterben társszerző a TéT-attasé, amik a magyar tudományos eredményeket mutatták be külföldi nemzetközi konferencián.</w:t>
            </w:r>
            <w:r w:rsidR="00E45762">
              <w:rPr>
                <w:rFonts w:cs="Times New Roman"/>
                <w:sz w:val="24"/>
                <w:szCs w:val="24"/>
              </w:rPr>
              <w:t xml:space="preserve"> A magyar tudományos eredményeket népszerűsítette a Gömböccel kapcsolatos tevékenység, itt két eseményt érdemes kiemelni, az egyik egy számozott (166) </w:t>
            </w:r>
            <w:hyperlink r:id="rId21" w:history="1">
              <w:r w:rsidR="00E45762" w:rsidRPr="008F6B9D">
                <w:rPr>
                  <w:rStyle w:val="Hiperhivatkozs"/>
                  <w:rFonts w:cs="Times New Roman"/>
                  <w:sz w:val="24"/>
                  <w:szCs w:val="24"/>
                </w:rPr>
                <w:t>egyedi Gömböc átadása az Új-Kaledóniai Egyetemen</w:t>
              </w:r>
            </w:hyperlink>
            <w:r w:rsidR="00E45762">
              <w:rPr>
                <w:rFonts w:cs="Times New Roman"/>
                <w:sz w:val="24"/>
                <w:szCs w:val="24"/>
              </w:rPr>
              <w:t xml:space="preserve">, valamint egy </w:t>
            </w:r>
            <w:hyperlink r:id="rId22" w:history="1">
              <w:r w:rsidR="00E45762" w:rsidRPr="008F6B9D">
                <w:rPr>
                  <w:rStyle w:val="Hiperhivatkozs"/>
                  <w:rFonts w:cs="Times New Roman"/>
                  <w:sz w:val="24"/>
                  <w:szCs w:val="24"/>
                </w:rPr>
                <w:t>oktatási célúé a Francia-Polinéziai Egyetemnek</w:t>
              </w:r>
            </w:hyperlink>
            <w:r w:rsidR="00E45762">
              <w:rPr>
                <w:rFonts w:cs="Times New Roman"/>
                <w:sz w:val="24"/>
                <w:szCs w:val="24"/>
              </w:rPr>
              <w:t>, az utóbbi számára már elkészült a számozott egyedi (149) is, az átadásra a tervek szerint a párizsi magyar nagykövetségen kerülhet sor az elkövetkezendő hónapokban.</w:t>
            </w:r>
          </w:p>
        </w:tc>
      </w:tr>
      <w:tr w:rsidR="00843191" w:rsidRPr="001F3E0E" w14:paraId="7314EF66" w14:textId="77777777" w:rsidTr="00410460">
        <w:trPr>
          <w:trHeight w:val="62"/>
        </w:trPr>
        <w:tc>
          <w:tcPr>
            <w:tcW w:w="3397" w:type="dxa"/>
            <w:tcBorders>
              <w:top w:val="single" w:sz="4" w:space="0" w:color="auto"/>
              <w:left w:val="single" w:sz="4" w:space="0" w:color="auto"/>
              <w:bottom w:val="single" w:sz="4" w:space="0" w:color="auto"/>
              <w:right w:val="nil"/>
            </w:tcBorders>
            <w:shd w:val="clear" w:color="auto" w:fill="auto"/>
            <w:vAlign w:val="center"/>
          </w:tcPr>
          <w:p w14:paraId="1A405E53" w14:textId="77777777" w:rsidR="00843191" w:rsidRPr="00843191" w:rsidRDefault="00843191" w:rsidP="0057221B">
            <w:pPr>
              <w:rPr>
                <w:rFonts w:cs="Times New Roman"/>
                <w:b/>
                <w:bCs/>
                <w:sz w:val="24"/>
                <w:szCs w:val="24"/>
              </w:rPr>
            </w:pPr>
          </w:p>
        </w:tc>
        <w:tc>
          <w:tcPr>
            <w:tcW w:w="11340" w:type="dxa"/>
            <w:gridSpan w:val="4"/>
            <w:tcBorders>
              <w:top w:val="single" w:sz="4" w:space="0" w:color="auto"/>
              <w:left w:val="nil"/>
              <w:bottom w:val="single" w:sz="4" w:space="0" w:color="auto"/>
              <w:right w:val="single" w:sz="4" w:space="0" w:color="auto"/>
            </w:tcBorders>
            <w:vAlign w:val="center"/>
          </w:tcPr>
          <w:p w14:paraId="326F4E20" w14:textId="77777777" w:rsidR="00843191" w:rsidRPr="001F3E0E" w:rsidRDefault="00843191" w:rsidP="0057221B">
            <w:pPr>
              <w:rPr>
                <w:rFonts w:cs="Times New Roman"/>
                <w:sz w:val="24"/>
                <w:szCs w:val="24"/>
              </w:rPr>
            </w:pPr>
          </w:p>
        </w:tc>
      </w:tr>
      <w:tr w:rsidR="00886308" w:rsidRPr="001F3E0E" w14:paraId="6D526270" w14:textId="77777777" w:rsidTr="004A7EFA">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310ABA" w14:textId="77777777" w:rsidR="00886308" w:rsidRPr="001F3E0E" w:rsidRDefault="00886308" w:rsidP="00886308">
            <w:pPr>
              <w:pStyle w:val="Listaszerbekezds"/>
              <w:numPr>
                <w:ilvl w:val="0"/>
                <w:numId w:val="1"/>
              </w:numPr>
              <w:rPr>
                <w:rFonts w:cs="Times New Roman"/>
                <w:b/>
                <w:bCs/>
                <w:sz w:val="24"/>
                <w:szCs w:val="24"/>
              </w:rPr>
            </w:pPr>
            <w:r w:rsidRPr="001F3E0E">
              <w:rPr>
                <w:rFonts w:cs="Times New Roman"/>
                <w:b/>
                <w:bCs/>
                <w:sz w:val="24"/>
                <w:szCs w:val="24"/>
              </w:rPr>
              <w:t>Felvetések, tapasztalatok, javaslatok</w:t>
            </w:r>
          </w:p>
        </w:tc>
        <w:tc>
          <w:tcPr>
            <w:tcW w:w="11340" w:type="dxa"/>
            <w:gridSpan w:val="4"/>
            <w:tcBorders>
              <w:top w:val="single" w:sz="4" w:space="0" w:color="auto"/>
              <w:left w:val="single" w:sz="4" w:space="0" w:color="auto"/>
              <w:bottom w:val="single" w:sz="4" w:space="0" w:color="auto"/>
              <w:right w:val="single" w:sz="4" w:space="0" w:color="auto"/>
            </w:tcBorders>
            <w:vAlign w:val="center"/>
            <w:hideMark/>
          </w:tcPr>
          <w:p w14:paraId="08B88A52" w14:textId="1EBEAEB2" w:rsidR="008F6B9D" w:rsidRPr="007E4922" w:rsidRDefault="008F6B9D" w:rsidP="008F6B9D">
            <w:pPr>
              <w:widowControl w:val="0"/>
              <w:jc w:val="both"/>
              <w:rPr>
                <w:rFonts w:eastAsia="Times New Roman" w:cs="Times New Roman"/>
                <w:sz w:val="24"/>
                <w:szCs w:val="24"/>
              </w:rPr>
            </w:pPr>
            <w:r w:rsidRPr="007E4922">
              <w:rPr>
                <w:rFonts w:eastAsia="Times New Roman" w:cs="Times New Roman"/>
                <w:sz w:val="24"/>
                <w:szCs w:val="24"/>
              </w:rPr>
              <w:t xml:space="preserve">Franciaország esetében továbbra is </w:t>
            </w:r>
            <w:r w:rsidRPr="007E4922">
              <w:rPr>
                <w:rFonts w:eastAsia="Times New Roman" w:cs="Times New Roman"/>
                <w:b/>
                <w:sz w:val="24"/>
                <w:szCs w:val="24"/>
              </w:rPr>
              <w:t>kiaknázatlan lehetőségként tartható számon</w:t>
            </w:r>
            <w:r w:rsidRPr="007E4922">
              <w:rPr>
                <w:rFonts w:eastAsia="Times New Roman" w:cs="Times New Roman"/>
                <w:sz w:val="24"/>
                <w:szCs w:val="24"/>
              </w:rPr>
              <w:t xml:space="preserve"> az, ami már a tíz évvel korábbi TéT-attaséi jelentésekben is szerepelt, nevezetesen az, hogy a nagyon jelentős Franciaországon kívüli intézet-hálózattal rendelkező kutatóintézetek (</w:t>
            </w:r>
            <w:hyperlink r:id="rId23" w:history="1">
              <w:r w:rsidRPr="007E4922">
                <w:rPr>
                  <w:rFonts w:eastAsia="Times New Roman" w:cs="Times New Roman"/>
                  <w:color w:val="0000FF"/>
                  <w:sz w:val="24"/>
                  <w:szCs w:val="24"/>
                  <w:u w:val="single"/>
                </w:rPr>
                <w:t>CIRAD</w:t>
              </w:r>
            </w:hyperlink>
            <w:r w:rsidRPr="007E4922">
              <w:rPr>
                <w:rFonts w:eastAsia="Times New Roman" w:cs="Times New Roman"/>
                <w:sz w:val="24"/>
                <w:szCs w:val="24"/>
              </w:rPr>
              <w:t xml:space="preserve">, </w:t>
            </w:r>
            <w:hyperlink r:id="rId24" w:history="1">
              <w:r w:rsidRPr="007E4922">
                <w:rPr>
                  <w:rFonts w:eastAsia="Times New Roman" w:cs="Times New Roman"/>
                  <w:color w:val="0000FF"/>
                  <w:sz w:val="24"/>
                  <w:szCs w:val="24"/>
                  <w:u w:val="single"/>
                </w:rPr>
                <w:t>IRD</w:t>
              </w:r>
            </w:hyperlink>
            <w:r w:rsidRPr="007E4922">
              <w:rPr>
                <w:rFonts w:eastAsia="Times New Roman" w:cs="Times New Roman"/>
                <w:sz w:val="24"/>
                <w:szCs w:val="24"/>
              </w:rPr>
              <w:t xml:space="preserve">, </w:t>
            </w:r>
            <w:hyperlink r:id="rId25" w:history="1">
              <w:r w:rsidRPr="007E4922">
                <w:rPr>
                  <w:rFonts w:eastAsia="Times New Roman" w:cs="Times New Roman"/>
                  <w:color w:val="0000FF"/>
                  <w:sz w:val="24"/>
                  <w:szCs w:val="24"/>
                  <w:u w:val="single"/>
                </w:rPr>
                <w:t>IFREMER</w:t>
              </w:r>
            </w:hyperlink>
            <w:r w:rsidRPr="007E4922">
              <w:rPr>
                <w:rFonts w:eastAsia="Times New Roman" w:cs="Times New Roman"/>
                <w:sz w:val="24"/>
                <w:szCs w:val="24"/>
              </w:rPr>
              <w:t xml:space="preserve">, </w:t>
            </w:r>
            <w:hyperlink r:id="rId26" w:history="1">
              <w:r w:rsidRPr="007E4922">
                <w:rPr>
                  <w:rFonts w:eastAsia="Times New Roman" w:cs="Times New Roman"/>
                  <w:color w:val="0000FF"/>
                  <w:sz w:val="24"/>
                  <w:szCs w:val="24"/>
                  <w:u w:val="single"/>
                </w:rPr>
                <w:t>Institut Pasteur</w:t>
              </w:r>
            </w:hyperlink>
            <w:r w:rsidRPr="007E4922">
              <w:rPr>
                <w:rFonts w:eastAsia="Times New Roman" w:cs="Times New Roman"/>
                <w:sz w:val="24"/>
                <w:szCs w:val="24"/>
              </w:rPr>
              <w:t>) egyes egységeibe vendégkutatókat küldjünk. Ezek az intézmények</w:t>
            </w:r>
            <w:r>
              <w:rPr>
                <w:rFonts w:eastAsia="Times New Roman" w:cs="Times New Roman"/>
                <w:sz w:val="24"/>
                <w:szCs w:val="24"/>
              </w:rPr>
              <w:t xml:space="preserve"> a múltban már</w:t>
            </w:r>
            <w:r w:rsidRPr="007E4922">
              <w:rPr>
                <w:rFonts w:eastAsia="Times New Roman" w:cs="Times New Roman"/>
                <w:sz w:val="24"/>
                <w:szCs w:val="24"/>
              </w:rPr>
              <w:t xml:space="preserve"> </w:t>
            </w:r>
            <w:r>
              <w:rPr>
                <w:rFonts w:eastAsia="Times New Roman" w:cs="Times New Roman"/>
                <w:sz w:val="24"/>
                <w:szCs w:val="24"/>
              </w:rPr>
              <w:t xml:space="preserve">többször </w:t>
            </w:r>
            <w:r w:rsidRPr="007E4922">
              <w:rPr>
                <w:rFonts w:eastAsia="Times New Roman" w:cs="Times New Roman"/>
                <w:sz w:val="24"/>
                <w:szCs w:val="24"/>
              </w:rPr>
              <w:t>jelezték, amennyiben tudjuk biztosítani a kutatók kiküldetési költségeit, szívesen fogadják őket rövidebb-hosszabb projekt-együttműködésekre, aminek kettős haszna lenne. Az egyik egyértelműen a kétoldalú tudományos kapcsolataink erősítése, a másik azonban ezen jóval túlmutat. Miközben ugyanis kutatóink Afrikában, Dél-Amerikában vagy Ázsiában európai körülmények között dolgozhatnak, közvetlen kapcsolatba kerülhetnek a helyi tudományos szféra fontosabb kutatóival, oktatóival, ez pedig egyértelműen nagyon komoly kapcsolati tőkét jelenthet a Magyarország által megvalósítani tervezett fejlesztési célú projektek sikeréhez.</w:t>
            </w:r>
          </w:p>
          <w:p w14:paraId="2A9F1706" w14:textId="77777777" w:rsidR="008F6B9D" w:rsidRPr="007E4922" w:rsidRDefault="008F6B9D" w:rsidP="008F6B9D">
            <w:pPr>
              <w:widowControl w:val="0"/>
              <w:jc w:val="both"/>
              <w:rPr>
                <w:rFonts w:cs="Times New Roman"/>
                <w:sz w:val="24"/>
                <w:szCs w:val="24"/>
              </w:rPr>
            </w:pPr>
            <w:r w:rsidRPr="007E4922">
              <w:rPr>
                <w:rFonts w:cs="Times New Roman"/>
                <w:sz w:val="24"/>
                <w:szCs w:val="24"/>
              </w:rPr>
              <w:t>A tengerentúli francia területeken működő kutatási és fölsőoktatási intézményekkel való következetes kapcsolatépítésnek köszönhetően reményeink szerint olyan, korunk kihívásaival szorosan összefüggő kérdésekben indulhatnak új projektek és közös képzések, mint a megújuló energiák, klímaváltozáselleni küzdelem, újonnan megjelenő betegségek gyógyítása.</w:t>
            </w:r>
          </w:p>
          <w:p w14:paraId="1B217356" w14:textId="314B24CD" w:rsidR="00886308" w:rsidRPr="001F3E0E" w:rsidRDefault="008F6B9D" w:rsidP="008F6B9D">
            <w:pPr>
              <w:jc w:val="both"/>
              <w:rPr>
                <w:rFonts w:cs="Times New Roman"/>
                <w:sz w:val="24"/>
                <w:szCs w:val="24"/>
              </w:rPr>
            </w:pPr>
            <w:r w:rsidRPr="007E4922">
              <w:rPr>
                <w:rFonts w:eastAsia="Times New Roman" w:cs="Times New Roman"/>
                <w:sz w:val="24"/>
                <w:szCs w:val="24"/>
              </w:rPr>
              <w:lastRenderedPageBreak/>
              <w:t xml:space="preserve">Párizsi nagykövetségünk az elmúlt </w:t>
            </w:r>
            <w:r>
              <w:rPr>
                <w:rFonts w:eastAsia="Times New Roman" w:cs="Times New Roman"/>
                <w:sz w:val="24"/>
                <w:szCs w:val="24"/>
              </w:rPr>
              <w:t>négy</w:t>
            </w:r>
            <w:r w:rsidRPr="007E4922">
              <w:rPr>
                <w:rFonts w:eastAsia="Times New Roman" w:cs="Times New Roman"/>
                <w:sz w:val="24"/>
                <w:szCs w:val="24"/>
              </w:rPr>
              <w:t xml:space="preserve"> évben a lehetőségekhez mérten komoly erőfeszítéseket tett a </w:t>
            </w:r>
            <w:r>
              <w:rPr>
                <w:rFonts w:eastAsia="Times New Roman" w:cs="Times New Roman"/>
                <w:sz w:val="24"/>
                <w:szCs w:val="24"/>
              </w:rPr>
              <w:t>k</w:t>
            </w:r>
            <w:r w:rsidRPr="007E4922">
              <w:rPr>
                <w:rFonts w:eastAsia="Times New Roman" w:cs="Times New Roman"/>
                <w:sz w:val="24"/>
                <w:szCs w:val="24"/>
              </w:rPr>
              <w:t>ourou-i európai űrközponttal való érdemei kapcsolatépítés érdekében</w:t>
            </w:r>
            <w:r>
              <w:rPr>
                <w:rFonts w:eastAsia="Times New Roman" w:cs="Times New Roman"/>
                <w:sz w:val="24"/>
                <w:szCs w:val="24"/>
              </w:rPr>
              <w:t xml:space="preserve"> is</w:t>
            </w:r>
            <w:r w:rsidRPr="007E4922">
              <w:rPr>
                <w:rFonts w:eastAsia="Times New Roman" w:cs="Times New Roman"/>
                <w:sz w:val="24"/>
                <w:szCs w:val="24"/>
              </w:rPr>
              <w:t xml:space="preserve">, meggyőződésünk ugyanis, hogy a magyar űripar számára a CSG megkerülhetetlen terep. Ehhez segítséget adhat, hogy 2021 októberében hivatalosan is fölavattuk </w:t>
            </w:r>
            <w:r>
              <w:rPr>
                <w:rFonts w:eastAsia="Times New Roman" w:cs="Times New Roman"/>
                <w:sz w:val="24"/>
                <w:szCs w:val="24"/>
              </w:rPr>
              <w:t>a</w:t>
            </w:r>
            <w:r w:rsidRPr="007E4922">
              <w:rPr>
                <w:rFonts w:eastAsia="Times New Roman" w:cs="Times New Roman"/>
                <w:sz w:val="24"/>
                <w:szCs w:val="24"/>
              </w:rPr>
              <w:t xml:space="preserve"> franciaországi</w:t>
            </w:r>
            <w:r>
              <w:rPr>
                <w:rFonts w:eastAsia="Times New Roman" w:cs="Times New Roman"/>
                <w:sz w:val="24"/>
                <w:szCs w:val="24"/>
              </w:rPr>
              <w:t xml:space="preserve"> tengerentúli területeken található első</w:t>
            </w:r>
            <w:r w:rsidRPr="007E4922">
              <w:rPr>
                <w:rFonts w:eastAsia="Times New Roman" w:cs="Times New Roman"/>
                <w:sz w:val="24"/>
                <w:szCs w:val="24"/>
              </w:rPr>
              <w:t>, cayenne-i székhellyel működő tiszteletbeli konzulátusunkat</w:t>
            </w:r>
            <w:r>
              <w:rPr>
                <w:rFonts w:eastAsia="Times New Roman" w:cs="Times New Roman"/>
                <w:sz w:val="24"/>
                <w:szCs w:val="24"/>
              </w:rPr>
              <w:t xml:space="preserve"> (</w:t>
            </w:r>
            <w:r w:rsidRPr="0099155B">
              <w:rPr>
                <w:rFonts w:eastAsia="Times New Roman" w:cs="Times New Roman"/>
                <w:i/>
                <w:sz w:val="24"/>
                <w:szCs w:val="24"/>
              </w:rPr>
              <w:t>amit 2023 tavaszán egy újabb követett a réunioni Saint-Denis-ben, szintén TéT-attaséi kezdeményezésre</w:t>
            </w:r>
            <w:r>
              <w:rPr>
                <w:rFonts w:eastAsia="Times New Roman" w:cs="Times New Roman"/>
                <w:sz w:val="24"/>
                <w:szCs w:val="24"/>
              </w:rPr>
              <w:t>)</w:t>
            </w:r>
            <w:r w:rsidRPr="007E4922">
              <w:rPr>
                <w:rFonts w:eastAsia="Times New Roman" w:cs="Times New Roman"/>
                <w:sz w:val="24"/>
                <w:szCs w:val="24"/>
              </w:rPr>
              <w:t>.</w:t>
            </w:r>
          </w:p>
        </w:tc>
      </w:tr>
      <w:tr w:rsidR="00886308" w:rsidRPr="001F3E0E" w14:paraId="224D0988" w14:textId="77777777" w:rsidTr="00410460">
        <w:trPr>
          <w:trHeight w:val="176"/>
        </w:trPr>
        <w:tc>
          <w:tcPr>
            <w:tcW w:w="14737" w:type="dxa"/>
            <w:gridSpan w:val="5"/>
            <w:tcBorders>
              <w:top w:val="single" w:sz="4" w:space="0" w:color="auto"/>
              <w:left w:val="single" w:sz="4" w:space="0" w:color="auto"/>
              <w:bottom w:val="single" w:sz="4" w:space="0" w:color="auto"/>
              <w:right w:val="single" w:sz="4" w:space="0" w:color="auto"/>
            </w:tcBorders>
            <w:hideMark/>
          </w:tcPr>
          <w:p w14:paraId="0C97455F" w14:textId="77777777" w:rsidR="00886308" w:rsidRPr="001F3E0E" w:rsidRDefault="00886308" w:rsidP="00D25CAD">
            <w:pPr>
              <w:rPr>
                <w:rFonts w:cs="Times New Roman"/>
                <w:sz w:val="24"/>
                <w:szCs w:val="24"/>
              </w:rPr>
            </w:pPr>
          </w:p>
        </w:tc>
      </w:tr>
      <w:tr w:rsidR="00886308" w:rsidRPr="001F3E0E" w14:paraId="539742C6" w14:textId="77777777" w:rsidTr="004A7EFA">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736CD8" w14:textId="77777777" w:rsidR="00886308" w:rsidRPr="001F3E0E" w:rsidRDefault="00886308" w:rsidP="00886308">
            <w:pPr>
              <w:pStyle w:val="Listaszerbekezds"/>
              <w:numPr>
                <w:ilvl w:val="0"/>
                <w:numId w:val="1"/>
              </w:numPr>
              <w:rPr>
                <w:rFonts w:cs="Times New Roman"/>
                <w:b/>
                <w:bCs/>
                <w:sz w:val="24"/>
                <w:szCs w:val="24"/>
              </w:rPr>
            </w:pPr>
            <w:r w:rsidRPr="001F3E0E">
              <w:rPr>
                <w:rFonts w:cs="Times New Roman"/>
                <w:b/>
                <w:bCs/>
                <w:sz w:val="24"/>
                <w:szCs w:val="24"/>
              </w:rPr>
              <w:t>Tervek a következő beszámoltatási időszakra</w:t>
            </w:r>
          </w:p>
        </w:tc>
        <w:tc>
          <w:tcPr>
            <w:tcW w:w="11340" w:type="dxa"/>
            <w:gridSpan w:val="4"/>
            <w:tcBorders>
              <w:top w:val="single" w:sz="4" w:space="0" w:color="auto"/>
              <w:left w:val="single" w:sz="4" w:space="0" w:color="auto"/>
              <w:bottom w:val="single" w:sz="4" w:space="0" w:color="auto"/>
              <w:right w:val="single" w:sz="4" w:space="0" w:color="auto"/>
            </w:tcBorders>
            <w:noWrap/>
            <w:vAlign w:val="center"/>
            <w:hideMark/>
          </w:tcPr>
          <w:p w14:paraId="3398A1C0" w14:textId="77777777" w:rsidR="00097B99" w:rsidRPr="00E75070" w:rsidRDefault="00097B99" w:rsidP="00097B99">
            <w:pPr>
              <w:widowControl w:val="0"/>
              <w:jc w:val="both"/>
              <w:rPr>
                <w:rFonts w:eastAsia="Times New Roman" w:cs="Times New Roman"/>
                <w:sz w:val="24"/>
                <w:szCs w:val="24"/>
                <w:lang w:eastAsia="hu-HU"/>
              </w:rPr>
            </w:pPr>
            <w:r w:rsidRPr="00E75070">
              <w:rPr>
                <w:rFonts w:eastAsia="Times New Roman" w:cs="Times New Roman"/>
                <w:sz w:val="24"/>
                <w:szCs w:val="24"/>
                <w:lang w:eastAsia="hu-HU"/>
              </w:rPr>
              <w:t>Folytatni kívánjuk a következetes munkát a kétoldalú intézményi, valamint a kutatási, oktatási és gazdasági együttműködést célzó kapcsolatépítésben Franciaország kontinentális és tengerentúli területein egyaránt. Ez utóbbi rendkívüli lehetőségeket jelent mindazon magyar kutatóhelyek és kutatók számára, akik európai keretrendszerben és körülmények között kívánnak olyan - elsősorban a természettudományok területét érintő - kutatásokat, együttműködéseket indítani, amire Európa kontinentális területén nincs lehetőség, tudományos hozadéka viszont kifejezetten jelentős. Cél új TDF-projektek tervezése és a már létező kapcsolatok alapján az együttműködések kiszélesítése, időben tartóssá tétele.</w:t>
            </w:r>
          </w:p>
          <w:p w14:paraId="01820FDB" w14:textId="3CBC4C0F" w:rsidR="00097B99" w:rsidRDefault="00097B99" w:rsidP="00097B99">
            <w:pPr>
              <w:widowControl w:val="0"/>
              <w:jc w:val="both"/>
              <w:rPr>
                <w:rFonts w:eastAsia="Times New Roman" w:cs="Times New Roman"/>
                <w:sz w:val="24"/>
                <w:szCs w:val="24"/>
                <w:lang w:eastAsia="hu-HU"/>
              </w:rPr>
            </w:pPr>
            <w:r w:rsidRPr="00E75070">
              <w:rPr>
                <w:rFonts w:eastAsia="Times New Roman" w:cs="Times New Roman"/>
                <w:sz w:val="24"/>
                <w:szCs w:val="24"/>
                <w:lang w:eastAsia="hu-HU"/>
              </w:rPr>
              <w:t>Elő kívánjuk mozdítani a magyar részvételt mindazon szakkiállításokon és vásárokon, szakmai fórumokon, amiket az elmúlt években erre alkalmasnak találtunk</w:t>
            </w:r>
            <w:r>
              <w:rPr>
                <w:rFonts w:eastAsia="Times New Roman" w:cs="Times New Roman"/>
                <w:sz w:val="24"/>
                <w:szCs w:val="24"/>
                <w:lang w:eastAsia="hu-HU"/>
              </w:rPr>
              <w:t xml:space="preserve"> (pl. </w:t>
            </w:r>
            <w:r w:rsidRPr="003570ED">
              <w:rPr>
                <w:rFonts w:eastAsia="Times New Roman" w:cs="Times New Roman"/>
                <w:bCs/>
                <w:sz w:val="24"/>
                <w:szCs w:val="24"/>
                <w:lang w:eastAsia="hu-HU"/>
              </w:rPr>
              <w:t>VIVATECH, Teratech, Paris Saclay Spring</w:t>
            </w:r>
            <w:r>
              <w:rPr>
                <w:rFonts w:eastAsia="Times New Roman" w:cs="Times New Roman"/>
                <w:sz w:val="24"/>
                <w:szCs w:val="24"/>
                <w:lang w:eastAsia="hu-HU"/>
              </w:rPr>
              <w:t>)</w:t>
            </w:r>
            <w:r w:rsidRPr="00E75070">
              <w:rPr>
                <w:rFonts w:eastAsia="Times New Roman" w:cs="Times New Roman"/>
                <w:sz w:val="24"/>
                <w:szCs w:val="24"/>
                <w:lang w:eastAsia="hu-HU"/>
              </w:rPr>
              <w:t>. Igyekezni fogunk újabb eseményeket bevonni ebbe a körbe, minden lehetséges fórumon hangoztatva az olyan magyar prioritásokat is, mint pl. az ELI vagy a ZalaZone tesztpálya. Láthatóan van igény a pályázati lehetőségekkel kapcsolatos munkánkra, így azt folytatni kívánjuk, valamint ösztönözni kívánjuk a következetes kétoldalú kapcsolatépítést is, minél több új partner bevonásával. Fontosnak tartjuk a magyar-francia partnerségben történő részvételt multilaterális projektekben, ennek elsődleges terepe a francia geo- és szakpolitikai prioritások ismeretében a Földközi-tenger térsége, valamint a szubszaharai Afrika lehet. Előbbi esetében jelentős segítséget jelent, hogy a párizsi TéT-attasé regionális akkreditációt kapott Algériába, Marokkóba és Tunéziába, így a korábbinál sokkal hatékonyabban ki tudjuk aknázni az ezekben az országokban már meglévő és a mediterrán térségben érintett francia szereplőkkel kialakított kapcsolati hálót. Törekszünk a kutatás-fejlesztés, innováció és fölsőoktatás területén tapasztalt jó francia gyakorlatok minél szélesebb körű megismertetésére, bízva abban, hogy ezek hozzásegíthetik a magyarországi szakpolitikai és szakmai döntések meghozatalát. Nagyon hasznos tapasztalatokat kaphatunk a francia egyetemi szféra koncentrációjából és az agrárkutatás és -fölsőoktatás következetes, de hosszú időt átfogó, fokozatos fúziójából</w:t>
            </w:r>
            <w:r w:rsidR="002A4578">
              <w:rPr>
                <w:rFonts w:eastAsia="Times New Roman" w:cs="Times New Roman"/>
                <w:sz w:val="24"/>
                <w:szCs w:val="24"/>
                <w:lang w:eastAsia="hu-HU"/>
              </w:rPr>
              <w:t xml:space="preserve"> is</w:t>
            </w:r>
            <w:r w:rsidRPr="00E75070">
              <w:rPr>
                <w:rFonts w:eastAsia="Times New Roman" w:cs="Times New Roman"/>
                <w:sz w:val="24"/>
                <w:szCs w:val="24"/>
                <w:lang w:eastAsia="hu-HU"/>
              </w:rPr>
              <w:t>.</w:t>
            </w:r>
          </w:p>
          <w:p w14:paraId="2B4AB0EE" w14:textId="15F5793F" w:rsidR="00886308" w:rsidRDefault="00097B99" w:rsidP="00097B99">
            <w:pPr>
              <w:jc w:val="both"/>
              <w:rPr>
                <w:rFonts w:eastAsia="Times New Roman" w:cs="Times New Roman"/>
                <w:sz w:val="24"/>
                <w:szCs w:val="24"/>
                <w:lang w:eastAsia="hu-HU"/>
              </w:rPr>
            </w:pPr>
            <w:r w:rsidRPr="00710FDC">
              <w:rPr>
                <w:rFonts w:eastAsia="Times New Roman" w:cs="Times New Roman"/>
                <w:sz w:val="24"/>
                <w:szCs w:val="24"/>
                <w:lang w:eastAsia="hu-HU"/>
              </w:rPr>
              <w:t>Élni kívánunk azzal a kivételes lehetőséggel, hogy Párizsban szinte a világ minden országa működtet diplomáciai képviseletet, így a velük való kapcsolatok erősítése egyben a magyar felsőoktatás és kutatás nemzetközi promóciójára is lehetőséget ad, így többek között a Stipendium Hungaricum ösztöndíjprogram népszerűsítésére</w:t>
            </w:r>
            <w:r>
              <w:rPr>
                <w:rFonts w:eastAsia="Times New Roman" w:cs="Times New Roman"/>
                <w:sz w:val="24"/>
                <w:szCs w:val="24"/>
                <w:lang w:eastAsia="hu-HU"/>
              </w:rPr>
              <w:t>, ahogy ez történt a 2023. szeptemberében a nagykövetségen tartott rendezvény</w:t>
            </w:r>
            <w:r w:rsidR="003570ED">
              <w:rPr>
                <w:rFonts w:eastAsia="Times New Roman" w:cs="Times New Roman"/>
                <w:sz w:val="24"/>
                <w:szCs w:val="24"/>
                <w:lang w:eastAsia="hu-HU"/>
              </w:rPr>
              <w:t>ünkön</w:t>
            </w:r>
            <w:r>
              <w:rPr>
                <w:rFonts w:eastAsia="Times New Roman" w:cs="Times New Roman"/>
                <w:sz w:val="24"/>
                <w:szCs w:val="24"/>
                <w:lang w:eastAsia="hu-HU"/>
              </w:rPr>
              <w:t xml:space="preserve"> is</w:t>
            </w:r>
            <w:r w:rsidRPr="00710FDC">
              <w:rPr>
                <w:rFonts w:eastAsia="Times New Roman" w:cs="Times New Roman"/>
                <w:sz w:val="24"/>
                <w:szCs w:val="24"/>
                <w:lang w:eastAsia="hu-HU"/>
              </w:rPr>
              <w:t>.</w:t>
            </w:r>
            <w:r>
              <w:rPr>
                <w:rFonts w:eastAsia="Times New Roman" w:cs="Times New Roman"/>
                <w:sz w:val="24"/>
                <w:szCs w:val="24"/>
                <w:lang w:eastAsia="hu-HU"/>
              </w:rPr>
              <w:t xml:space="preserve"> A Liszt Intézet kezdeményezésére és a Szegedi Tudományegyetem támogatásával a párizsi Pasteur Intézetben Karikó Katalin professzor asszony munkásságát bemutató</w:t>
            </w:r>
            <w:r w:rsidR="003570ED">
              <w:rPr>
                <w:rFonts w:eastAsia="Times New Roman" w:cs="Times New Roman"/>
                <w:sz w:val="24"/>
                <w:szCs w:val="24"/>
                <w:lang w:eastAsia="hu-HU"/>
              </w:rPr>
              <w:t>, várhatóan öt hónapon keresztül megtekinthető</w:t>
            </w:r>
            <w:r>
              <w:rPr>
                <w:rFonts w:eastAsia="Times New Roman" w:cs="Times New Roman"/>
                <w:sz w:val="24"/>
                <w:szCs w:val="24"/>
                <w:lang w:eastAsia="hu-HU"/>
              </w:rPr>
              <w:t xml:space="preserve"> kiállításra kerül sor 2024 őszén, Francia-Guyanában pedig nagykövetségünk kezdeményezésében 2024 novemberében TéT-attaséi kezdeményezésre külhoni magyar emlékhelyet avatunk a második világháború után telepesként oda érkező magyarok emlékére.</w:t>
            </w:r>
            <w:r w:rsidR="002A4578">
              <w:rPr>
                <w:rFonts w:eastAsia="Times New Roman" w:cs="Times New Roman"/>
                <w:sz w:val="24"/>
                <w:szCs w:val="24"/>
                <w:lang w:eastAsia="hu-HU"/>
              </w:rPr>
              <w:t xml:space="preserve"> Ezzel a </w:t>
            </w:r>
            <w:r w:rsidR="002A4578">
              <w:rPr>
                <w:rFonts w:eastAsia="Times New Roman" w:cs="Times New Roman"/>
                <w:sz w:val="24"/>
                <w:szCs w:val="24"/>
                <w:lang w:eastAsia="hu-HU"/>
              </w:rPr>
              <w:lastRenderedPageBreak/>
              <w:t>kérdéssel TéT-attasénk kezdeményezésére az SZTE-n egy doktorandusz is foglalkozik, aki a tavasz folyamán kutatási célú mobilitás keretében Francia-Guyanában is járt.</w:t>
            </w:r>
          </w:p>
          <w:p w14:paraId="6657DBC7" w14:textId="544AC2B9" w:rsidR="00DD7D95" w:rsidRPr="001F3E0E" w:rsidRDefault="00DD7D95" w:rsidP="00097B99">
            <w:pPr>
              <w:jc w:val="both"/>
              <w:rPr>
                <w:rFonts w:cs="Times New Roman"/>
                <w:sz w:val="24"/>
                <w:szCs w:val="24"/>
              </w:rPr>
            </w:pPr>
            <w:r>
              <w:rPr>
                <w:rFonts w:eastAsia="Times New Roman" w:cs="Times New Roman"/>
                <w:sz w:val="24"/>
                <w:szCs w:val="24"/>
                <w:lang w:eastAsia="hu-HU"/>
              </w:rPr>
              <w:t>Folytatni kívánjuk a „Gömböc-programunkat”, az év vége előtt egyedi, számozott példányt szeretnénk átadni a Réunioni Egyetemnek és az Université de Lorraine-nek is, valamint – amint teljesülnek az elhelyezésére vonatkozó szponzori elvárások – a Francia-Polinéziai Egyetem számára is eljuttatjuk a saját számozott Gömböcét.</w:t>
            </w:r>
          </w:p>
        </w:tc>
      </w:tr>
    </w:tbl>
    <w:p w14:paraId="6CE98BD4" w14:textId="77777777" w:rsidR="00CE5D1F" w:rsidRPr="00886308" w:rsidRDefault="00E13F1A" w:rsidP="00410460">
      <w:pPr>
        <w:rPr>
          <w:rFonts w:cs="Times New Roman"/>
          <w:i/>
          <w:sz w:val="24"/>
          <w:szCs w:val="24"/>
        </w:rPr>
      </w:pPr>
    </w:p>
    <w:sectPr w:rsidR="00CE5D1F" w:rsidRPr="00886308" w:rsidSect="00410460">
      <w:footerReference w:type="default" r:id="rId27"/>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1FA44" w14:textId="77777777" w:rsidR="00E13F1A" w:rsidRDefault="00E13F1A" w:rsidP="00886308">
      <w:pPr>
        <w:spacing w:after="0" w:line="240" w:lineRule="auto"/>
      </w:pPr>
      <w:r>
        <w:separator/>
      </w:r>
    </w:p>
  </w:endnote>
  <w:endnote w:type="continuationSeparator" w:id="0">
    <w:p w14:paraId="17C2A7D7" w14:textId="77777777" w:rsidR="00E13F1A" w:rsidRDefault="00E13F1A" w:rsidP="0088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70684"/>
      <w:docPartObj>
        <w:docPartGallery w:val="Page Numbers (Bottom of Page)"/>
        <w:docPartUnique/>
      </w:docPartObj>
    </w:sdtPr>
    <w:sdtEndPr>
      <w:rPr>
        <w:rFonts w:cs="Times New Roman"/>
        <w:b/>
      </w:rPr>
    </w:sdtEndPr>
    <w:sdtContent>
      <w:p w14:paraId="7F1CE45A" w14:textId="206CA16C" w:rsidR="00E9406C" w:rsidRPr="00E9406C" w:rsidRDefault="00E9406C">
        <w:pPr>
          <w:pStyle w:val="llb"/>
          <w:jc w:val="center"/>
          <w:rPr>
            <w:rFonts w:cs="Times New Roman"/>
            <w:b/>
          </w:rPr>
        </w:pPr>
        <w:r w:rsidRPr="00E9406C">
          <w:rPr>
            <w:rFonts w:cs="Times New Roman"/>
            <w:b/>
          </w:rPr>
          <w:fldChar w:fldCharType="begin"/>
        </w:r>
        <w:r w:rsidRPr="00E9406C">
          <w:rPr>
            <w:rFonts w:cs="Times New Roman"/>
            <w:b/>
          </w:rPr>
          <w:instrText>PAGE   \* MERGEFORMAT</w:instrText>
        </w:r>
        <w:r w:rsidRPr="00E9406C">
          <w:rPr>
            <w:rFonts w:cs="Times New Roman"/>
            <w:b/>
          </w:rPr>
          <w:fldChar w:fldCharType="separate"/>
        </w:r>
        <w:r w:rsidR="0070633F">
          <w:rPr>
            <w:rFonts w:cs="Times New Roman"/>
            <w:b/>
            <w:noProof/>
          </w:rPr>
          <w:t>2</w:t>
        </w:r>
        <w:r w:rsidRPr="00E9406C">
          <w:rPr>
            <w:rFonts w:cs="Times New Roman"/>
            <w: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53A49" w14:textId="77777777" w:rsidR="00E13F1A" w:rsidRDefault="00E13F1A" w:rsidP="00886308">
      <w:pPr>
        <w:spacing w:after="0" w:line="240" w:lineRule="auto"/>
      </w:pPr>
      <w:r>
        <w:separator/>
      </w:r>
    </w:p>
  </w:footnote>
  <w:footnote w:type="continuationSeparator" w:id="0">
    <w:p w14:paraId="33AD382F" w14:textId="77777777" w:rsidR="00E13F1A" w:rsidRDefault="00E13F1A" w:rsidP="00886308">
      <w:pPr>
        <w:spacing w:after="0" w:line="240" w:lineRule="auto"/>
      </w:pPr>
      <w:r>
        <w:continuationSeparator/>
      </w:r>
    </w:p>
  </w:footnote>
  <w:footnote w:id="1">
    <w:p w14:paraId="16D8254F" w14:textId="77777777" w:rsidR="00AA6752" w:rsidRDefault="00AA6752" w:rsidP="00AA6752">
      <w:pPr>
        <w:pStyle w:val="Lbjegyzetszveg"/>
      </w:pPr>
      <w:r>
        <w:rPr>
          <w:rStyle w:val="Lbjegyzet-hivatkozs"/>
        </w:rPr>
        <w:footnoteRef/>
      </w:r>
      <w:r>
        <w:t xml:space="preserve"> </w:t>
      </w:r>
      <w:hyperlink r:id="rId1" w:history="1">
        <w:r w:rsidRPr="00133BA6">
          <w:rPr>
            <w:rStyle w:val="Hiperhivatkozs"/>
          </w:rPr>
          <w:t>https://www.cgiar.org/</w:t>
        </w:r>
      </w:hyperlink>
      <w:r>
        <w:t xml:space="preserve"> </w:t>
      </w:r>
    </w:p>
  </w:footnote>
  <w:footnote w:id="2">
    <w:p w14:paraId="626C75B1" w14:textId="194FB479" w:rsidR="00AA6752" w:rsidRDefault="00AA6752">
      <w:pPr>
        <w:pStyle w:val="Lbjegyzetszveg"/>
      </w:pPr>
      <w:r>
        <w:rPr>
          <w:rStyle w:val="Lbjegyzet-hivatkozs"/>
        </w:rPr>
        <w:footnoteRef/>
      </w:r>
      <w:r>
        <w:t xml:space="preserve"> korábban ez Washingtonban volt</w:t>
      </w:r>
    </w:p>
  </w:footnote>
  <w:footnote w:id="3">
    <w:p w14:paraId="06DF2AE6" w14:textId="77777777" w:rsidR="00AA6752" w:rsidRDefault="00AA6752" w:rsidP="00AA6752">
      <w:pPr>
        <w:pStyle w:val="Lbjegyzetszveg"/>
        <w:jc w:val="both"/>
      </w:pPr>
      <w:r>
        <w:rPr>
          <w:rStyle w:val="Lbjegyzet-hivatkozs"/>
        </w:rPr>
        <w:footnoteRef/>
      </w:r>
      <w:r>
        <w:t xml:space="preserve"> A Kormány 167/2012. (VII. 20.) Korm. rendelete a Nemzetközi Mezőgazdasági Kutatóközpontok Konzorciumának nemzetközi szervezetként történő létrehozásáról szóló Megállapodás kihirdetéséről</w:t>
      </w:r>
    </w:p>
  </w:footnote>
  <w:footnote w:id="4">
    <w:p w14:paraId="71550E93" w14:textId="7C214576" w:rsidR="00AA6752" w:rsidRDefault="00AA6752">
      <w:pPr>
        <w:pStyle w:val="Lbjegyzetszveg"/>
      </w:pPr>
      <w:r>
        <w:rPr>
          <w:rStyle w:val="Lbjegyzet-hivatkozs"/>
        </w:rPr>
        <w:footnoteRef/>
      </w:r>
      <w:r>
        <w:t xml:space="preserve"> </w:t>
      </w:r>
      <w:hyperlink r:id="rId2" w:history="1">
        <w:r w:rsidRPr="00133BA6">
          <w:rPr>
            <w:rStyle w:val="Hiperhivatkozs"/>
          </w:rPr>
          <w:t>https://icarda.org/</w:t>
        </w:r>
      </w:hyperlink>
      <w:r>
        <w:t xml:space="preserve"> </w:t>
      </w:r>
      <w:r w:rsidRPr="00AA6752">
        <w:t>International Center for Agricultural Research in the Dry Areas</w:t>
      </w:r>
    </w:p>
  </w:footnote>
  <w:footnote w:id="5">
    <w:p w14:paraId="1E8063C8" w14:textId="77777777" w:rsidR="00B27693" w:rsidRDefault="00B27693" w:rsidP="00B27693">
      <w:pPr>
        <w:pStyle w:val="Lbjegyzetszveg"/>
      </w:pPr>
      <w:r>
        <w:rPr>
          <w:rStyle w:val="Lbjegyzet-hivatkozs"/>
        </w:rPr>
        <w:footnoteRef/>
      </w:r>
      <w:r>
        <w:t xml:space="preserve"> </w:t>
      </w:r>
      <w:hyperlink r:id="rId3" w:history="1">
        <w:r w:rsidRPr="006D2C02">
          <w:rPr>
            <w:rStyle w:val="Hiperhivatkozs"/>
          </w:rPr>
          <w:t>https://www.inra.org.ma/</w:t>
        </w:r>
      </w:hyperlink>
      <w:r>
        <w:t xml:space="preserve"> </w:t>
      </w:r>
    </w:p>
  </w:footnote>
  <w:footnote w:id="6">
    <w:p w14:paraId="3E80A4DB" w14:textId="77777777" w:rsidR="00B27693" w:rsidRDefault="00B27693" w:rsidP="00B27693">
      <w:pPr>
        <w:pStyle w:val="Lbjegyzetszveg"/>
      </w:pPr>
      <w:r>
        <w:rPr>
          <w:rStyle w:val="Lbjegyzet-hivatkozs"/>
        </w:rPr>
        <w:footnoteRef/>
      </w:r>
      <w:r>
        <w:t xml:space="preserve"> </w:t>
      </w:r>
      <w:hyperlink r:id="rId4" w:history="1">
        <w:r w:rsidRPr="006D2C02">
          <w:rPr>
            <w:rStyle w:val="Hiperhivatkozs"/>
          </w:rPr>
          <w:t>https://um6p.ma/</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7030"/>
    <w:multiLevelType w:val="hybridMultilevel"/>
    <w:tmpl w:val="3FBA1F7E"/>
    <w:lvl w:ilvl="0" w:tplc="F3C20C94">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15:restartNumberingAfterBreak="0">
    <w:nsid w:val="0DED5E51"/>
    <w:multiLevelType w:val="hybridMultilevel"/>
    <w:tmpl w:val="2A208888"/>
    <w:lvl w:ilvl="0" w:tplc="8DFCA61C">
      <w:start w:val="1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E3A48B7"/>
    <w:multiLevelType w:val="hybridMultilevel"/>
    <w:tmpl w:val="678AB6B8"/>
    <w:lvl w:ilvl="0" w:tplc="435C99A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F0431DF"/>
    <w:multiLevelType w:val="multilevel"/>
    <w:tmpl w:val="FA36779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BD3700"/>
    <w:multiLevelType w:val="hybridMultilevel"/>
    <w:tmpl w:val="7590A5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08"/>
    <w:rsid w:val="000030B7"/>
    <w:rsid w:val="0002716F"/>
    <w:rsid w:val="00097B99"/>
    <w:rsid w:val="000E5E26"/>
    <w:rsid w:val="000F46F7"/>
    <w:rsid w:val="001F44F1"/>
    <w:rsid w:val="001F5289"/>
    <w:rsid w:val="001F6305"/>
    <w:rsid w:val="002658A7"/>
    <w:rsid w:val="002A4578"/>
    <w:rsid w:val="0031780D"/>
    <w:rsid w:val="00352CC2"/>
    <w:rsid w:val="003570ED"/>
    <w:rsid w:val="003E3C68"/>
    <w:rsid w:val="00410460"/>
    <w:rsid w:val="00414C5E"/>
    <w:rsid w:val="00433AFD"/>
    <w:rsid w:val="004A7EFA"/>
    <w:rsid w:val="004E1E20"/>
    <w:rsid w:val="005057B6"/>
    <w:rsid w:val="00516A8F"/>
    <w:rsid w:val="005534A7"/>
    <w:rsid w:val="005A5CCF"/>
    <w:rsid w:val="006638DF"/>
    <w:rsid w:val="00690F8C"/>
    <w:rsid w:val="006D0609"/>
    <w:rsid w:val="0070633F"/>
    <w:rsid w:val="007842EF"/>
    <w:rsid w:val="007D0550"/>
    <w:rsid w:val="007F1F64"/>
    <w:rsid w:val="007F277A"/>
    <w:rsid w:val="00833474"/>
    <w:rsid w:val="0083500E"/>
    <w:rsid w:val="00843191"/>
    <w:rsid w:val="008433A5"/>
    <w:rsid w:val="0088397C"/>
    <w:rsid w:val="00886308"/>
    <w:rsid w:val="008F6B9D"/>
    <w:rsid w:val="00900718"/>
    <w:rsid w:val="009A12EB"/>
    <w:rsid w:val="009B553A"/>
    <w:rsid w:val="009E6C2A"/>
    <w:rsid w:val="00A370A2"/>
    <w:rsid w:val="00AA6752"/>
    <w:rsid w:val="00AE1B1F"/>
    <w:rsid w:val="00B27693"/>
    <w:rsid w:val="00B840A2"/>
    <w:rsid w:val="00C70CCA"/>
    <w:rsid w:val="00C93DE2"/>
    <w:rsid w:val="00CD4E14"/>
    <w:rsid w:val="00D86133"/>
    <w:rsid w:val="00DD19ED"/>
    <w:rsid w:val="00DD7D95"/>
    <w:rsid w:val="00E0162A"/>
    <w:rsid w:val="00E13F1A"/>
    <w:rsid w:val="00E45762"/>
    <w:rsid w:val="00E9406C"/>
    <w:rsid w:val="00EB100F"/>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6B47D"/>
  <w15:chartTrackingRefBased/>
  <w15:docId w15:val="{4EFD7D27-9213-4B46-86A5-1F5FB72F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8630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886308"/>
    <w:pPr>
      <w:ind w:left="720"/>
      <w:contextualSpacing/>
    </w:pPr>
  </w:style>
  <w:style w:type="character" w:customStyle="1" w:styleId="ListaszerbekezdsChar">
    <w:name w:val="Listaszerű bekezdés Char"/>
    <w:link w:val="Listaszerbekezds"/>
    <w:uiPriority w:val="34"/>
    <w:locked/>
    <w:rsid w:val="00886308"/>
  </w:style>
  <w:style w:type="table" w:styleId="Rcsostblzat">
    <w:name w:val="Table Grid"/>
    <w:basedOn w:val="Normltblzat"/>
    <w:uiPriority w:val="59"/>
    <w:rsid w:val="00886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6308"/>
    <w:pPr>
      <w:autoSpaceDE w:val="0"/>
      <w:autoSpaceDN w:val="0"/>
      <w:adjustRightInd w:val="0"/>
      <w:spacing w:after="0" w:line="240" w:lineRule="auto"/>
    </w:pPr>
    <w:rPr>
      <w:rFonts w:cs="Times New Roman"/>
      <w:color w:val="000000"/>
      <w:sz w:val="24"/>
      <w:szCs w:val="24"/>
    </w:rPr>
  </w:style>
  <w:style w:type="paragraph" w:styleId="Lbjegyzetszveg">
    <w:name w:val="footnote text"/>
    <w:basedOn w:val="Norml"/>
    <w:link w:val="LbjegyzetszvegChar"/>
    <w:uiPriority w:val="99"/>
    <w:unhideWhenUsed/>
    <w:rsid w:val="00886308"/>
    <w:pPr>
      <w:spacing w:after="0" w:line="240" w:lineRule="auto"/>
    </w:pPr>
  </w:style>
  <w:style w:type="character" w:customStyle="1" w:styleId="LbjegyzetszvegChar">
    <w:name w:val="Lábjegyzetszöveg Char"/>
    <w:basedOn w:val="Bekezdsalapbettpusa"/>
    <w:link w:val="Lbjegyzetszveg"/>
    <w:uiPriority w:val="99"/>
    <w:rsid w:val="00886308"/>
    <w:rPr>
      <w:sz w:val="20"/>
      <w:szCs w:val="20"/>
    </w:rPr>
  </w:style>
  <w:style w:type="character" w:styleId="Lbjegyzet-hivatkozs">
    <w:name w:val="footnote reference"/>
    <w:basedOn w:val="Bekezdsalapbettpusa"/>
    <w:uiPriority w:val="99"/>
    <w:unhideWhenUsed/>
    <w:rsid w:val="00886308"/>
    <w:rPr>
      <w:vertAlign w:val="superscript"/>
    </w:rPr>
  </w:style>
  <w:style w:type="paragraph" w:styleId="lfej">
    <w:name w:val="header"/>
    <w:basedOn w:val="Norml"/>
    <w:link w:val="lfejChar"/>
    <w:uiPriority w:val="99"/>
    <w:unhideWhenUsed/>
    <w:rsid w:val="00410460"/>
    <w:pPr>
      <w:tabs>
        <w:tab w:val="center" w:pos="4536"/>
        <w:tab w:val="right" w:pos="9072"/>
      </w:tabs>
      <w:spacing w:after="0" w:line="240" w:lineRule="auto"/>
    </w:pPr>
  </w:style>
  <w:style w:type="character" w:customStyle="1" w:styleId="lfejChar">
    <w:name w:val="Élőfej Char"/>
    <w:basedOn w:val="Bekezdsalapbettpusa"/>
    <w:link w:val="lfej"/>
    <w:uiPriority w:val="99"/>
    <w:rsid w:val="00410460"/>
  </w:style>
  <w:style w:type="paragraph" w:styleId="llb">
    <w:name w:val="footer"/>
    <w:basedOn w:val="Norml"/>
    <w:link w:val="llbChar"/>
    <w:uiPriority w:val="99"/>
    <w:unhideWhenUsed/>
    <w:rsid w:val="00410460"/>
    <w:pPr>
      <w:tabs>
        <w:tab w:val="center" w:pos="4536"/>
        <w:tab w:val="right" w:pos="9072"/>
      </w:tabs>
      <w:spacing w:after="0" w:line="240" w:lineRule="auto"/>
    </w:pPr>
  </w:style>
  <w:style w:type="character" w:customStyle="1" w:styleId="llbChar">
    <w:name w:val="Élőláb Char"/>
    <w:basedOn w:val="Bekezdsalapbettpusa"/>
    <w:link w:val="llb"/>
    <w:uiPriority w:val="99"/>
    <w:rsid w:val="00410460"/>
  </w:style>
  <w:style w:type="character" w:styleId="Hiperhivatkozs">
    <w:name w:val="Hyperlink"/>
    <w:basedOn w:val="Bekezdsalapbettpusa"/>
    <w:uiPriority w:val="99"/>
    <w:unhideWhenUsed/>
    <w:rsid w:val="009A12EB"/>
    <w:rPr>
      <w:color w:val="0563C1" w:themeColor="hyperlink"/>
      <w:u w:val="single"/>
    </w:rPr>
  </w:style>
  <w:style w:type="character" w:customStyle="1" w:styleId="UnresolvedMention">
    <w:name w:val="Unresolved Mention"/>
    <w:basedOn w:val="Bekezdsalapbettpusa"/>
    <w:uiPriority w:val="99"/>
    <w:semiHidden/>
    <w:unhideWhenUsed/>
    <w:rsid w:val="00B27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ie.gouv.fr/france-2030" TargetMode="External"/><Relationship Id="rId13" Type="http://schemas.openxmlformats.org/officeDocument/2006/relationships/hyperlink" Target="https://www.cgiar.org/" TargetMode="External"/><Relationship Id="rId18" Type="http://schemas.openxmlformats.org/officeDocument/2006/relationships/hyperlink" Target="https://gomboc.eu/en/the-gomboc-on-tahiti/" TargetMode="External"/><Relationship Id="rId26" Type="http://schemas.openxmlformats.org/officeDocument/2006/relationships/hyperlink" Target="http://www.pasteur.fr" TargetMode="External"/><Relationship Id="rId3" Type="http://schemas.openxmlformats.org/officeDocument/2006/relationships/styles" Target="styles.xml"/><Relationship Id="rId21" Type="http://schemas.openxmlformats.org/officeDocument/2006/relationships/hyperlink" Target="https://gomboc.eu/en/gomboc-166-in-new-caledonia/" TargetMode="External"/><Relationship Id="rId7" Type="http://schemas.openxmlformats.org/officeDocument/2006/relationships/endnotes" Target="endnotes.xml"/><Relationship Id="rId12" Type="http://schemas.openxmlformats.org/officeDocument/2006/relationships/hyperlink" Target="https://www.iter.org/" TargetMode="External"/><Relationship Id="rId17" Type="http://schemas.openxmlformats.org/officeDocument/2006/relationships/hyperlink" Target="https://gomboc.eu/en/gomboc-166-in-new-caledonia/" TargetMode="External"/><Relationship Id="rId25" Type="http://schemas.openxmlformats.org/officeDocument/2006/relationships/hyperlink" Target="http://www.ifremer.fr" TargetMode="External"/><Relationship Id="rId2" Type="http://schemas.openxmlformats.org/officeDocument/2006/relationships/numbering" Target="numbering.xml"/><Relationship Id="rId16" Type="http://schemas.openxmlformats.org/officeDocument/2006/relationships/hyperlink" Target="https://um6p.ma/" TargetMode="External"/><Relationship Id="rId20" Type="http://schemas.openxmlformats.org/officeDocument/2006/relationships/hyperlink" Target="https://www.aahc2024.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l.eu/about-ill/what-is-the-ill/an-international-partnership/" TargetMode="External"/><Relationship Id="rId24" Type="http://schemas.openxmlformats.org/officeDocument/2006/relationships/hyperlink" Target="http://www.ird.fr" TargetMode="External"/><Relationship Id="rId5" Type="http://schemas.openxmlformats.org/officeDocument/2006/relationships/webSettings" Target="webSettings.xml"/><Relationship Id="rId15" Type="http://schemas.openxmlformats.org/officeDocument/2006/relationships/hyperlink" Target="https://www.inra.org.ma/" TargetMode="External"/><Relationship Id="rId23" Type="http://schemas.openxmlformats.org/officeDocument/2006/relationships/hyperlink" Target="http://www.cirad.fr" TargetMode="External"/><Relationship Id="rId28" Type="http://schemas.openxmlformats.org/officeDocument/2006/relationships/fontTable" Target="fontTable.xml"/><Relationship Id="rId10" Type="http://schemas.openxmlformats.org/officeDocument/2006/relationships/hyperlink" Target="http://www.esrf.eu/fr/home/about/organisation/contracting-parties.html" TargetMode="External"/><Relationship Id="rId19" Type="http://schemas.openxmlformats.org/officeDocument/2006/relationships/hyperlink" Target="https://www.ouest-france.fr/pays-de-la-loire/mauges-sur-loire-49620/un-vin-aux-futures-saveurs-magyares-6c1ac1ca-9f04-4d05-bc88-bd9e185122b0" TargetMode="External"/><Relationship Id="rId4" Type="http://schemas.openxmlformats.org/officeDocument/2006/relationships/settings" Target="settings.xml"/><Relationship Id="rId9" Type="http://schemas.openxmlformats.org/officeDocument/2006/relationships/hyperlink" Target="https://2010-2014.kormany.hu/hu/emberi-eroforrasok-miniszteriuma/parlamenti-allamtitkarsag/hirek/erosodnek-a-tuneziai-kapcsolatok-az-oktatas-teruleten" TargetMode="External"/><Relationship Id="rId14" Type="http://schemas.openxmlformats.org/officeDocument/2006/relationships/hyperlink" Target="https://icarda.org/" TargetMode="External"/><Relationship Id="rId22" Type="http://schemas.openxmlformats.org/officeDocument/2006/relationships/hyperlink" Target="https://gomboc.eu/en/the-gomboc-on-tahiti/"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nra.org.ma/" TargetMode="External"/><Relationship Id="rId2" Type="http://schemas.openxmlformats.org/officeDocument/2006/relationships/hyperlink" Target="https://icarda.org/" TargetMode="External"/><Relationship Id="rId1" Type="http://schemas.openxmlformats.org/officeDocument/2006/relationships/hyperlink" Target="https://www.cgiar.org/" TargetMode="External"/><Relationship Id="rId4" Type="http://schemas.openxmlformats.org/officeDocument/2006/relationships/hyperlink" Target="https://um6p.m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8E319-18F4-43C2-8974-6F3BDB87C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3680</Words>
  <Characters>25392</Characters>
  <Application>Microsoft Office Word</Application>
  <DocSecurity>0</DocSecurity>
  <Lines>211</Lines>
  <Paragraphs>58</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
      <vt:lpstr/>
    </vt:vector>
  </TitlesOfParts>
  <Company>KKM</Company>
  <LinksUpToDate>false</LinksUpToDate>
  <CharactersWithSpaces>29014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Várkonyi Márta</dc:creator>
  <cp:keywords/>
  <dc:description/>
  <cp:lastModifiedBy>Bácsi-Navratil Ágnes Anna</cp:lastModifiedBy>
  <cp:revision>2</cp:revision>
  <dcterms:created xsi:type="dcterms:W3CDTF">2024-07-18T07:46:00Z</dcterms:created>
  <dcterms:modified xsi:type="dcterms:W3CDTF">2024-07-18T07:46:00Z</dcterms:modified>
</cp:coreProperties>
</file>